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E4A" w:rsidRDefault="002A6E4A" w:rsidP="00012CF8">
      <w:pPr>
        <w:suppressAutoHyphens/>
        <w:spacing w:before="240" w:after="240"/>
        <w:jc w:val="center"/>
        <w:rPr>
          <w:rFonts w:ascii="Trebuchet MS" w:hAnsi="Trebuchet MS"/>
          <w:b/>
          <w:sz w:val="40"/>
          <w:szCs w:val="40"/>
          <w:u w:val="single"/>
        </w:rPr>
      </w:pPr>
    </w:p>
    <w:p w:rsidR="002A6E4A" w:rsidRDefault="002A6E4A" w:rsidP="00012CF8">
      <w:pPr>
        <w:suppressAutoHyphens/>
        <w:spacing w:before="240" w:after="240"/>
        <w:jc w:val="center"/>
        <w:rPr>
          <w:rFonts w:ascii="Trebuchet MS" w:hAnsi="Trebuchet MS"/>
          <w:b/>
          <w:sz w:val="40"/>
          <w:szCs w:val="40"/>
          <w:u w:val="single"/>
        </w:rPr>
      </w:pPr>
    </w:p>
    <w:p w:rsidR="00133208" w:rsidRDefault="00B12D09" w:rsidP="00012CF8">
      <w:pPr>
        <w:suppressAutoHyphens/>
        <w:spacing w:before="240" w:after="240"/>
        <w:jc w:val="center"/>
        <w:rPr>
          <w:rFonts w:ascii="Trebuchet MS" w:hAnsi="Trebuchet MS"/>
          <w:b/>
          <w:sz w:val="40"/>
          <w:szCs w:val="40"/>
          <w:u w:val="single"/>
        </w:rPr>
        <w:sectPr w:rsidR="00133208" w:rsidSect="00562CEB">
          <w:headerReference w:type="default" r:id="rId8"/>
          <w:footerReference w:type="even" r:id="rId9"/>
          <w:footerReference w:type="default" r:id="rId10"/>
          <w:footerReference w:type="first" r:id="rId11"/>
          <w:type w:val="continuous"/>
          <w:pgSz w:w="11907" w:h="16839" w:code="9"/>
          <w:pgMar w:top="1417" w:right="1701" w:bottom="1417" w:left="1701" w:header="567" w:footer="567" w:gutter="0"/>
          <w:cols w:space="708"/>
          <w:titlePg/>
          <w:docGrid w:linePitch="360"/>
        </w:sectPr>
      </w:pPr>
      <w:r>
        <w:rPr>
          <w:noProof/>
          <w:lang w:val="es-AR" w:eastAsia="es-AR"/>
        </w:rPr>
        <mc:AlternateContent>
          <mc:Choice Requires="wpg">
            <w:drawing>
              <wp:anchor distT="0" distB="0" distL="114300" distR="114300" simplePos="0" relativeHeight="251669504" behindDoc="0" locked="0" layoutInCell="1" allowOverlap="1" wp14:anchorId="267CB93A" wp14:editId="19DA9D38">
                <wp:simplePos x="0" y="0"/>
                <wp:positionH relativeFrom="page">
                  <wp:posOffset>5784215</wp:posOffset>
                </wp:positionH>
                <wp:positionV relativeFrom="page">
                  <wp:posOffset>4735195</wp:posOffset>
                </wp:positionV>
                <wp:extent cx="740410" cy="777240"/>
                <wp:effectExtent l="635" t="0" r="3175" b="3175"/>
                <wp:wrapNone/>
                <wp:docPr id="389"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wpg:grpSpPr>
                      <wps:wsp>
                        <wps:cNvPr id="390" name="AutoShape 8"/>
                        <wps:cNvSpPr>
                          <a:spLocks noChangeArrowheads="1"/>
                        </wps:cNvSpPr>
                        <wps:spPr bwMode="auto">
                          <a:xfrm>
                            <a:off x="11100" y="9410"/>
                            <a:ext cx="682" cy="590"/>
                          </a:xfrm>
                          <a:prstGeom prst="chevron">
                            <a:avLst>
                              <a:gd name="adj" fmla="val 60312"/>
                            </a:avLst>
                          </a:prstGeom>
                          <a:solidFill>
                            <a:srgbClr val="91A6CF"/>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solidFill>
                            <a:srgbClr val="5B6C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solidFill>
                            <a:srgbClr val="274E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795D179" id="Grupo 7" o:spid="_x0000_s1026" style="position:absolute;margin-left:455.45pt;margin-top:372.85pt;width:58.3pt;height:61.2pt;rotation:90;z-index:251669504;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" adj="10330" fillcolor="#91a6cf" stroked="f" strokecolor="white"/>
                <v:shape id="AutoShape 9"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" adj="10330" fillcolor="#5b6c9d" stroked="f" strokecolor="white"/>
                <v:shape id="AutoShape 10"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" adj="10834" fillcolor="#274e9d" stroked="f" strokecolor="white"/>
                <w10:wrap anchorx="page" anchory="page"/>
              </v:group>
            </w:pict>
          </mc:Fallback>
        </mc:AlternateContent>
      </w:r>
      <w:r>
        <w:rPr>
          <w:noProof/>
          <w:lang w:val="es-AR" w:eastAsia="es-AR"/>
        </w:rPr>
        <mc:AlternateContent>
          <mc:Choice Requires="wps">
            <w:drawing>
              <wp:anchor distT="0" distB="0" distL="114300" distR="114300" simplePos="0" relativeHeight="251671552" behindDoc="0" locked="0" layoutInCell="1" allowOverlap="1" wp14:anchorId="72CE3B31" wp14:editId="6CC1BC70">
                <wp:simplePos x="0" y="0"/>
                <wp:positionH relativeFrom="margin">
                  <wp:posOffset>1624965</wp:posOffset>
                </wp:positionH>
                <wp:positionV relativeFrom="margin">
                  <wp:posOffset>5234940</wp:posOffset>
                </wp:positionV>
                <wp:extent cx="4144010" cy="1571625"/>
                <wp:effectExtent l="0" t="0" r="0" b="0"/>
                <wp:wrapNone/>
                <wp:docPr id="387" name="Cuadro de texto 387"/>
                <wp:cNvGraphicFramePr/>
                <a:graphic xmlns:a="http://schemas.openxmlformats.org/drawingml/2006/main">
                  <a:graphicData uri="http://schemas.microsoft.com/office/word/2010/wordprocessingShape">
                    <wps:wsp>
                      <wps:cNvSpPr txBox="1"/>
                      <wps:spPr>
                        <a:xfrm>
                          <a:off x="0" y="0"/>
                          <a:ext cx="4144010" cy="1571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4D20" w:rsidRPr="00C5064F" w:rsidRDefault="009B4D20" w:rsidP="00B12D09">
                            <w:pPr>
                              <w:suppressOverlap/>
                              <w:rPr>
                                <w:rFonts w:asciiTheme="majorHAnsi" w:hAnsiTheme="majorHAnsi"/>
                                <w:b/>
                                <w:sz w:val="48"/>
                                <w:szCs w:val="48"/>
                              </w:rPr>
                            </w:pPr>
                            <w:r w:rsidRPr="00C5064F">
                              <w:rPr>
                                <w:rFonts w:asciiTheme="majorHAnsi" w:hAnsiTheme="majorHAnsi"/>
                                <w:b/>
                                <w:sz w:val="48"/>
                                <w:szCs w:val="48"/>
                              </w:rPr>
                              <w:t>ADMINISTRACIÓN PÚBLICA NO FINANCIERA</w:t>
                            </w:r>
                          </w:p>
                          <w:p w:rsidR="009B4D20" w:rsidRPr="00C5064F" w:rsidRDefault="009B4D20" w:rsidP="00B12D09">
                            <w:pPr>
                              <w:rPr>
                                <w:rFonts w:asciiTheme="majorHAnsi" w:hAnsiTheme="majorHAnsi"/>
                                <w:b/>
                                <w:sz w:val="36"/>
                                <w:szCs w:val="36"/>
                              </w:rPr>
                            </w:pPr>
                          </w:p>
                          <w:p w:rsidR="009B4D20" w:rsidRPr="00C5064F" w:rsidRDefault="009B4D20" w:rsidP="00B12D09">
                            <w:pPr>
                              <w:rPr>
                                <w:rFonts w:asciiTheme="majorHAnsi" w:hAnsiTheme="majorHAnsi"/>
                                <w:b/>
                                <w:sz w:val="36"/>
                                <w:szCs w:val="36"/>
                              </w:rPr>
                            </w:pPr>
                            <w:r w:rsidRPr="00C5064F">
                              <w:rPr>
                                <w:rFonts w:asciiTheme="majorHAnsi" w:hAnsiTheme="majorHAnsi"/>
                                <w:b/>
                                <w:sz w:val="36"/>
                                <w:szCs w:val="36"/>
                              </w:rPr>
                              <w:t>PRIMER TRIMESTRE 20</w:t>
                            </w:r>
                            <w:r w:rsidR="003C1E4C" w:rsidRPr="00C5064F">
                              <w:rPr>
                                <w:rFonts w:asciiTheme="majorHAnsi" w:hAnsiTheme="majorHAnsi"/>
                                <w:b/>
                                <w:sz w:val="36"/>
                                <w:szCs w:val="36"/>
                              </w:rPr>
                              <w:t>2</w:t>
                            </w:r>
                            <w:r w:rsidR="00745967">
                              <w:rPr>
                                <w:rFonts w:asciiTheme="majorHAnsi" w:hAnsiTheme="majorHAnsi"/>
                                <w:b/>
                                <w:sz w:val="36"/>
                                <w:szCs w:val="36"/>
                              </w:rPr>
                              <w:t>2</w:t>
                            </w:r>
                          </w:p>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CE3B31" id="_x0000_t202" coordsize="21600,21600" o:spt="202" path="m,l,21600r21600,l21600,xe">
                <v:stroke joinstyle="miter"/>
                <v:path gradientshapeok="t" o:connecttype="rect"/>
              </v:shapetype>
              <v:shape id="Cuadro de texto 387" o:spid="_x0000_s1026" type="#_x0000_t202" style="position:absolute;left:0;text-align:left;margin-left:127.95pt;margin-top:412.2pt;width:326.3pt;height:123.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4RZhgIAAG8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" filled="f" stroked="f" strokeweight=".5pt">
                <v:textbox inset=",14.4pt,,7.2pt">
                  <w:txbxContent>
                    <w:p w:rsidR="009B4D20" w:rsidRPr="00C5064F" w:rsidRDefault="009B4D20" w:rsidP="00B12D09">
                      <w:pPr>
                        <w:suppressOverlap/>
                        <w:rPr>
                          <w:rFonts w:asciiTheme="majorHAnsi" w:hAnsiTheme="majorHAnsi"/>
                          <w:b/>
                          <w:sz w:val="48"/>
                          <w:szCs w:val="48"/>
                        </w:rPr>
                      </w:pPr>
                      <w:r w:rsidRPr="00C5064F">
                        <w:rPr>
                          <w:rFonts w:asciiTheme="majorHAnsi" w:hAnsiTheme="majorHAnsi"/>
                          <w:b/>
                          <w:sz w:val="48"/>
                          <w:szCs w:val="48"/>
                        </w:rPr>
                        <w:t>ADMINISTRACIÓN PÚBLICA NO FINANCIERA</w:t>
                      </w:r>
                    </w:p>
                    <w:p w:rsidR="009B4D20" w:rsidRPr="00C5064F" w:rsidRDefault="009B4D20" w:rsidP="00B12D09">
                      <w:pPr>
                        <w:rPr>
                          <w:rFonts w:asciiTheme="majorHAnsi" w:hAnsiTheme="majorHAnsi"/>
                          <w:b/>
                          <w:sz w:val="36"/>
                          <w:szCs w:val="36"/>
                        </w:rPr>
                      </w:pPr>
                    </w:p>
                    <w:p w:rsidR="009B4D20" w:rsidRPr="00C5064F" w:rsidRDefault="009B4D20" w:rsidP="00B12D09">
                      <w:pPr>
                        <w:rPr>
                          <w:rFonts w:asciiTheme="majorHAnsi" w:hAnsiTheme="majorHAnsi"/>
                          <w:b/>
                          <w:sz w:val="36"/>
                          <w:szCs w:val="36"/>
                        </w:rPr>
                      </w:pPr>
                      <w:r w:rsidRPr="00C5064F">
                        <w:rPr>
                          <w:rFonts w:asciiTheme="majorHAnsi" w:hAnsiTheme="majorHAnsi"/>
                          <w:b/>
                          <w:sz w:val="36"/>
                          <w:szCs w:val="36"/>
                        </w:rPr>
                        <w:t>PRIMER TRIMESTRE 20</w:t>
                      </w:r>
                      <w:r w:rsidR="003C1E4C" w:rsidRPr="00C5064F">
                        <w:rPr>
                          <w:rFonts w:asciiTheme="majorHAnsi" w:hAnsiTheme="majorHAnsi"/>
                          <w:b/>
                          <w:sz w:val="36"/>
                          <w:szCs w:val="36"/>
                        </w:rPr>
                        <w:t>2</w:t>
                      </w:r>
                      <w:r w:rsidR="00745967">
                        <w:rPr>
                          <w:rFonts w:asciiTheme="majorHAnsi" w:hAnsiTheme="majorHAnsi"/>
                          <w:b/>
                          <w:sz w:val="36"/>
                          <w:szCs w:val="36"/>
                        </w:rPr>
                        <w:t>2</w:t>
                      </w:r>
                    </w:p>
                  </w:txbxContent>
                </v:textbox>
                <w10:wrap anchorx="margin" anchory="margin"/>
              </v:shape>
            </w:pict>
          </mc:Fallback>
        </mc:AlternateContent>
      </w:r>
      <w:r>
        <w:rPr>
          <w:noProof/>
          <w:lang w:val="es-AR" w:eastAsia="es-AR"/>
        </w:rPr>
        <mc:AlternateContent>
          <mc:Choice Requires="wps">
            <w:drawing>
              <wp:anchor distT="0" distB="0" distL="114300" distR="114300" simplePos="0" relativeHeight="251667456" behindDoc="1" locked="0" layoutInCell="1" allowOverlap="1" wp14:anchorId="5AC5DE73" wp14:editId="73F3D0D1">
                <wp:simplePos x="0" y="0"/>
                <wp:positionH relativeFrom="margin">
                  <wp:posOffset>-118110</wp:posOffset>
                </wp:positionH>
                <wp:positionV relativeFrom="margin">
                  <wp:posOffset>3348355</wp:posOffset>
                </wp:positionV>
                <wp:extent cx="6537960" cy="6125845"/>
                <wp:effectExtent l="0" t="0" r="2540" b="8255"/>
                <wp:wrapNone/>
                <wp:docPr id="388" name="Rectángulo 388"/>
                <wp:cNvGraphicFramePr/>
                <a:graphic xmlns:a="http://schemas.openxmlformats.org/drawingml/2006/main">
                  <a:graphicData uri="http://schemas.microsoft.com/office/word/2010/wordprocessingShape">
                    <wps:wsp>
                      <wps:cNvSpPr/>
                      <wps:spPr>
                        <a:xfrm>
                          <a:off x="0" y="0"/>
                          <a:ext cx="6537960" cy="6125845"/>
                        </a:xfrm>
                        <a:prstGeom prst="rect">
                          <a:avLst/>
                        </a:prstGeom>
                        <a:solidFill>
                          <a:srgbClr val="ABD4ED"/>
                        </a:solidFill>
                        <a:ln>
                          <a:noFill/>
                        </a:ln>
                      </wps:spPr>
                      <wps:style>
                        <a:lnRef idx="2">
                          <a:schemeClr val="accent1">
                            <a:shade val="50000"/>
                          </a:schemeClr>
                        </a:lnRef>
                        <a:fillRef idx="1003">
                          <a:schemeClr val="lt1"/>
                        </a:fillRef>
                        <a:effectRef idx="0">
                          <a:schemeClr val="accent1"/>
                        </a:effectRef>
                        <a:fontRef idx="minor">
                          <a:schemeClr val="lt1"/>
                        </a:fontRef>
                      </wps:style>
                      <wps:txbx>
                        <w:txbxContent>
                          <w:p w:rsidR="009B4D20" w:rsidRPr="00B12D09" w:rsidRDefault="009B4D20" w:rsidP="00B12D09">
                            <w:pPr>
                              <w:jc w:val="center"/>
                              <w:rPr>
                                <w:lang w:val="es-A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0</wp14:pctHeight>
                </wp14:sizeRelV>
              </wp:anchor>
            </w:drawing>
          </mc:Choice>
          <mc:Fallback>
            <w:pict>
              <v:rect w14:anchorId="5AC5DE73" id="Rectángulo 388" o:spid="_x0000_s1027" style="position:absolute;left:0;text-align:left;margin-left:-9.3pt;margin-top:263.65pt;width:514.8pt;height:482.35pt;z-index:-251649024;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" fillcolor="#abd4ed" stroked="f" strokeweight="2pt">
                <v:textbox>
                  <w:txbxContent>
                    <w:p w:rsidR="009B4D20" w:rsidRPr="00B12D09" w:rsidRDefault="009B4D20" w:rsidP="00B12D09">
                      <w:pPr>
                        <w:jc w:val="center"/>
                        <w:rPr>
                          <w:lang w:val="es-AR"/>
                        </w:rPr>
                      </w:pPr>
                    </w:p>
                  </w:txbxContent>
                </v:textbox>
                <w10:wrap anchorx="margin" anchory="margin"/>
              </v:rect>
            </w:pict>
          </mc:Fallback>
        </mc:AlternateContent>
      </w:r>
      <w:r>
        <w:rPr>
          <w:noProof/>
          <w:lang w:val="es-AR" w:eastAsia="es-AR"/>
        </w:rPr>
        <mc:AlternateContent>
          <mc:Choice Requires="wps">
            <w:drawing>
              <wp:anchor distT="0" distB="0" distL="114300" distR="114300" simplePos="0" relativeHeight="251665408" behindDoc="1" locked="0" layoutInCell="1" allowOverlap="1" wp14:anchorId="6B9EE978" wp14:editId="4A6F9110">
                <wp:simplePos x="0" y="0"/>
                <wp:positionH relativeFrom="margin">
                  <wp:posOffset>-118110</wp:posOffset>
                </wp:positionH>
                <wp:positionV relativeFrom="margin">
                  <wp:posOffset>-291465</wp:posOffset>
                </wp:positionV>
                <wp:extent cx="6537960" cy="3638550"/>
                <wp:effectExtent l="0" t="0" r="2540" b="0"/>
                <wp:wrapNone/>
                <wp:docPr id="382"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638550"/>
                        </a:xfrm>
                        <a:prstGeom prst="rect">
                          <a:avLst/>
                        </a:prstGeom>
                        <a:solidFill>
                          <a:srgbClr val="3572A5"/>
                        </a:solidFill>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E9646B" w:rsidRPr="004D166D" w:rsidRDefault="00E9646B" w:rsidP="00E9646B">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E9646B" w:rsidRPr="004D166D" w:rsidRDefault="00E9646B" w:rsidP="00E9646B">
                            <w:pPr>
                              <w:pStyle w:val="Sinespaciado"/>
                              <w:ind w:right="-2104"/>
                              <w:jc w:val="center"/>
                              <w:rPr>
                                <w:rFonts w:ascii="Cambria" w:hAnsi="Cambria"/>
                                <w:color w:val="FFFFFF"/>
                                <w:sz w:val="64"/>
                                <w:szCs w:val="64"/>
                              </w:rPr>
                            </w:pPr>
                          </w:p>
                          <w:p w:rsidR="00E9646B" w:rsidRPr="004D166D" w:rsidRDefault="00E9646B" w:rsidP="00E9646B">
                            <w:pPr>
                              <w:pStyle w:val="Sinespaciado"/>
                              <w:ind w:right="-2104"/>
                              <w:jc w:val="center"/>
                              <w:rPr>
                                <w:rFonts w:ascii="Cambria" w:hAnsi="Cambria"/>
                                <w:color w:val="FFFFFF"/>
                                <w:sz w:val="64"/>
                                <w:szCs w:val="64"/>
                              </w:rPr>
                            </w:pPr>
                          </w:p>
                          <w:p w:rsidR="009B4D20" w:rsidRPr="003731D4" w:rsidRDefault="009B4D20" w:rsidP="00B12D09">
                            <w:pPr>
                              <w:pStyle w:val="Sinespaciado"/>
                              <w:rPr>
                                <w:rFonts w:asciiTheme="majorHAnsi" w:eastAsiaTheme="majorEastAsia" w:hAnsiTheme="majorHAnsi" w:cstheme="majorBidi"/>
                                <w:color w:val="FFFFFF" w:themeColor="background1"/>
                                <w:sz w:val="56"/>
                                <w:szCs w:val="56"/>
                              </w:rPr>
                            </w:pPr>
                          </w:p>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0</wp14:pctHeight>
                </wp14:sizeRelV>
              </wp:anchor>
            </w:drawing>
          </mc:Choice>
          <mc:Fallback>
            <w:pict>
              <v:rect w14:anchorId="6B9EE978" id="Rectángulo 6" o:spid="_x0000_s1028" style="position:absolute;left:0;text-align:left;margin-left:-9.3pt;margin-top:-22.95pt;width:514.8pt;height:286.5pt;z-index:-251651072;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" fillcolor="#3572a5" stroked="f">
                <v:textbox inset="18pt,,108pt,7.2pt">
                  <w:txbxContent>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E9646B" w:rsidRPr="004D166D" w:rsidRDefault="00E9646B" w:rsidP="00E9646B">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E9646B" w:rsidRPr="004D166D" w:rsidRDefault="00E9646B" w:rsidP="00E9646B">
                      <w:pPr>
                        <w:pStyle w:val="Sinespaciado"/>
                        <w:ind w:right="-2104"/>
                        <w:jc w:val="center"/>
                        <w:rPr>
                          <w:rFonts w:ascii="Cambria" w:hAnsi="Cambria"/>
                          <w:color w:val="FFFFFF"/>
                          <w:sz w:val="64"/>
                          <w:szCs w:val="64"/>
                        </w:rPr>
                      </w:pPr>
                    </w:p>
                    <w:p w:rsidR="00E9646B" w:rsidRPr="004D166D" w:rsidRDefault="00E9646B" w:rsidP="00E9646B">
                      <w:pPr>
                        <w:pStyle w:val="Sinespaciado"/>
                        <w:ind w:right="-2104"/>
                        <w:jc w:val="center"/>
                        <w:rPr>
                          <w:rFonts w:ascii="Cambria" w:hAnsi="Cambria"/>
                          <w:color w:val="FFFFFF"/>
                          <w:sz w:val="64"/>
                          <w:szCs w:val="64"/>
                        </w:rPr>
                      </w:pPr>
                    </w:p>
                    <w:p w:rsidR="009B4D20" w:rsidRPr="003731D4" w:rsidRDefault="009B4D20" w:rsidP="00B12D09">
                      <w:pPr>
                        <w:pStyle w:val="Sinespaciado"/>
                        <w:rPr>
                          <w:rFonts w:asciiTheme="majorHAnsi" w:eastAsiaTheme="majorEastAsia" w:hAnsiTheme="majorHAnsi" w:cstheme="majorBidi"/>
                          <w:color w:val="FFFFFF" w:themeColor="background1"/>
                          <w:sz w:val="56"/>
                          <w:szCs w:val="56"/>
                        </w:rPr>
                      </w:pPr>
                    </w:p>
                  </w:txbxContent>
                </v:textbox>
                <w10:wrap anchorx="margin" anchory="margin"/>
              </v:rect>
            </w:pict>
          </mc:Fallback>
        </mc:AlternateContent>
      </w:r>
    </w:p>
    <w:p w:rsidR="00844952" w:rsidRDefault="00844952" w:rsidP="00844952"/>
    <w:p w:rsidR="00844952" w:rsidRDefault="00844952" w:rsidP="00844952"/>
    <w:p w:rsidR="00844952" w:rsidRDefault="00844952" w:rsidP="00844952"/>
    <w:p w:rsidR="00844952" w:rsidRDefault="00844952" w:rsidP="00844952"/>
    <w:p w:rsidR="00844952" w:rsidRDefault="00844952"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A6E4A" w:rsidP="00DE28F1">
      <w:r>
        <w:rPr>
          <w:rFonts w:ascii="Trebuchet MS" w:hAnsi="Trebuchet MS"/>
          <w:b/>
          <w:noProof/>
          <w:sz w:val="40"/>
          <w:szCs w:val="40"/>
          <w:u w:val="single"/>
          <w:lang w:val="es-AR" w:eastAsia="es-AR"/>
        </w:rPr>
        <mc:AlternateContent>
          <mc:Choice Requires="wps">
            <w:drawing>
              <wp:anchor distT="0" distB="0" distL="114300" distR="114300" simplePos="0" relativeHeight="251673600" behindDoc="0" locked="0" layoutInCell="1" allowOverlap="1" wp14:anchorId="320D6D9E" wp14:editId="48330B42">
                <wp:simplePos x="0" y="0"/>
                <wp:positionH relativeFrom="column">
                  <wp:posOffset>110490</wp:posOffset>
                </wp:positionH>
                <wp:positionV relativeFrom="paragraph">
                  <wp:posOffset>140335</wp:posOffset>
                </wp:positionV>
                <wp:extent cx="4810125" cy="1057275"/>
                <wp:effectExtent l="0" t="0" r="0" b="0"/>
                <wp:wrapNone/>
                <wp:docPr id="4" name="4 Cuadro de texto"/>
                <wp:cNvGraphicFramePr/>
                <a:graphic xmlns:a="http://schemas.openxmlformats.org/drawingml/2006/main">
                  <a:graphicData uri="http://schemas.microsoft.com/office/word/2010/wordprocessingShape">
                    <wps:wsp>
                      <wps:cNvSpPr txBox="1"/>
                      <wps:spPr>
                        <a:xfrm>
                          <a:off x="0" y="0"/>
                          <a:ext cx="4810125" cy="1057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4D20" w:rsidRPr="00C5064F" w:rsidRDefault="00C5064F"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Dirección Nacional de Asuntos Provinciales</w:t>
                            </w:r>
                          </w:p>
                          <w:p w:rsidR="00C5064F" w:rsidRPr="00C5064F" w:rsidRDefault="00C5064F" w:rsidP="00B12D09">
                            <w:pPr>
                              <w:rPr>
                                <w:rFonts w:asciiTheme="majorHAnsi" w:eastAsia="Dotum" w:hAnsiTheme="majorHAnsi"/>
                                <w:b/>
                                <w:sz w:val="16"/>
                                <w:szCs w:val="16"/>
                                <w:lang w:val="es-AR"/>
                              </w:rPr>
                            </w:pPr>
                          </w:p>
                          <w:p w:rsidR="009B4D20" w:rsidRPr="00C5064F" w:rsidRDefault="009B4D20"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SECRETARÍA DE HACIENDA</w:t>
                            </w:r>
                          </w:p>
                          <w:p w:rsidR="009B4D20" w:rsidRPr="00C5064F" w:rsidRDefault="009B4D20" w:rsidP="00B12D09">
                            <w:pPr>
                              <w:rPr>
                                <w:rFonts w:asciiTheme="majorHAnsi" w:eastAsia="Dotum" w:hAnsiTheme="majorHAnsi"/>
                                <w:b/>
                                <w:sz w:val="16"/>
                                <w:szCs w:val="16"/>
                                <w:lang w:val="es-AR"/>
                              </w:rPr>
                            </w:pPr>
                          </w:p>
                          <w:p w:rsidR="009B4D20" w:rsidRPr="005873D1" w:rsidRDefault="009B4D20" w:rsidP="00B12D09">
                            <w:pPr>
                              <w:rPr>
                                <w:rFonts w:asciiTheme="majorHAnsi" w:eastAsia="Dotum" w:hAnsiTheme="majorHAnsi"/>
                                <w:b/>
                                <w:caps/>
                                <w:sz w:val="28"/>
                                <w:szCs w:val="28"/>
                                <w:lang w:val="es-AR"/>
                              </w:rPr>
                            </w:pPr>
                            <w:r w:rsidRPr="005873D1">
                              <w:rPr>
                                <w:rFonts w:asciiTheme="majorHAnsi" w:eastAsia="Dotum" w:hAnsiTheme="majorHAnsi"/>
                                <w:b/>
                                <w:caps/>
                                <w:sz w:val="28"/>
                                <w:szCs w:val="28"/>
                                <w:lang w:val="es-AR"/>
                              </w:rPr>
                              <w:t xml:space="preserve">MINISTERIO DE </w:t>
                            </w:r>
                            <w:r w:rsidR="005873D1" w:rsidRPr="005873D1">
                              <w:rPr>
                                <w:rFonts w:asciiTheme="majorHAnsi" w:eastAsia="Dotum" w:hAnsiTheme="majorHAnsi"/>
                                <w:b/>
                                <w:caps/>
                                <w:sz w:val="28"/>
                                <w:szCs w:val="28"/>
                                <w:lang w:val="es-AR"/>
                              </w:rPr>
                              <w:t>Economía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D6D9E" id="4 Cuadro de texto" o:spid="_x0000_s1029" type="#_x0000_t202" style="position:absolute;margin-left:8.7pt;margin-top:11.05pt;width:378.75pt;height:8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" filled="f" stroked="f" strokeweight=".5pt">
                <v:textbox>
                  <w:txbxContent>
                    <w:p w:rsidR="009B4D20" w:rsidRPr="00C5064F" w:rsidRDefault="00C5064F"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Dirección Nacional de Asuntos Provinciales</w:t>
                      </w:r>
                    </w:p>
                    <w:p w:rsidR="00C5064F" w:rsidRPr="00C5064F" w:rsidRDefault="00C5064F" w:rsidP="00B12D09">
                      <w:pPr>
                        <w:rPr>
                          <w:rFonts w:asciiTheme="majorHAnsi" w:eastAsia="Dotum" w:hAnsiTheme="majorHAnsi"/>
                          <w:b/>
                          <w:sz w:val="16"/>
                          <w:szCs w:val="16"/>
                          <w:lang w:val="es-AR"/>
                        </w:rPr>
                      </w:pPr>
                    </w:p>
                    <w:p w:rsidR="009B4D20" w:rsidRPr="00C5064F" w:rsidRDefault="009B4D20"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SECRETARÍA DE HACIENDA</w:t>
                      </w:r>
                    </w:p>
                    <w:p w:rsidR="009B4D20" w:rsidRPr="00C5064F" w:rsidRDefault="009B4D20" w:rsidP="00B12D09">
                      <w:pPr>
                        <w:rPr>
                          <w:rFonts w:asciiTheme="majorHAnsi" w:eastAsia="Dotum" w:hAnsiTheme="majorHAnsi"/>
                          <w:b/>
                          <w:sz w:val="16"/>
                          <w:szCs w:val="16"/>
                          <w:lang w:val="es-AR"/>
                        </w:rPr>
                      </w:pPr>
                    </w:p>
                    <w:p w:rsidR="009B4D20" w:rsidRPr="005873D1" w:rsidRDefault="009B4D20" w:rsidP="00B12D09">
                      <w:pPr>
                        <w:rPr>
                          <w:rFonts w:asciiTheme="majorHAnsi" w:eastAsia="Dotum" w:hAnsiTheme="majorHAnsi"/>
                          <w:b/>
                          <w:caps/>
                          <w:sz w:val="28"/>
                          <w:szCs w:val="28"/>
                          <w:lang w:val="es-AR"/>
                        </w:rPr>
                      </w:pPr>
                      <w:r w:rsidRPr="005873D1">
                        <w:rPr>
                          <w:rFonts w:asciiTheme="majorHAnsi" w:eastAsia="Dotum" w:hAnsiTheme="majorHAnsi"/>
                          <w:b/>
                          <w:caps/>
                          <w:sz w:val="28"/>
                          <w:szCs w:val="28"/>
                          <w:lang w:val="es-AR"/>
                        </w:rPr>
                        <w:t xml:space="preserve">MINISTERIO DE </w:t>
                      </w:r>
                      <w:r w:rsidR="005873D1" w:rsidRPr="005873D1">
                        <w:rPr>
                          <w:rFonts w:asciiTheme="majorHAnsi" w:eastAsia="Dotum" w:hAnsiTheme="majorHAnsi"/>
                          <w:b/>
                          <w:caps/>
                          <w:sz w:val="28"/>
                          <w:szCs w:val="28"/>
                          <w:lang w:val="es-AR"/>
                        </w:rPr>
                        <w:t>Economía</w:t>
                      </w:r>
                    </w:p>
                  </w:txbxContent>
                </v:textbox>
              </v:shape>
            </w:pict>
          </mc:Fallback>
        </mc:AlternateContent>
      </w:r>
    </w:p>
    <w:p w:rsidR="00264D2B" w:rsidRDefault="00264D2B" w:rsidP="00844952"/>
    <w:p w:rsidR="00264D2B" w:rsidRDefault="00264D2B" w:rsidP="00844952"/>
    <w:p w:rsidR="00264D2B" w:rsidRDefault="00264D2B" w:rsidP="00844952"/>
    <w:p w:rsidR="007F4131" w:rsidRDefault="007F4131" w:rsidP="00264D2B">
      <w:pPr>
        <w:jc w:val="center"/>
        <w:rPr>
          <w:rFonts w:asciiTheme="minorHAnsi" w:hAnsiTheme="minorHAnsi"/>
          <w:b/>
          <w:sz w:val="32"/>
          <w:szCs w:val="32"/>
        </w:rPr>
      </w:pPr>
    </w:p>
    <w:p w:rsidR="007F4131" w:rsidRDefault="007F4131" w:rsidP="00264D2B">
      <w:pPr>
        <w:jc w:val="center"/>
        <w:rPr>
          <w:rFonts w:asciiTheme="minorHAnsi" w:hAnsiTheme="minorHAnsi"/>
          <w:b/>
          <w:sz w:val="32"/>
          <w:szCs w:val="32"/>
        </w:rPr>
      </w:pPr>
    </w:p>
    <w:p w:rsidR="007F4131" w:rsidRDefault="007F4131" w:rsidP="00264D2B">
      <w:pPr>
        <w:jc w:val="center"/>
        <w:rPr>
          <w:rFonts w:asciiTheme="minorHAnsi" w:hAnsiTheme="minorHAnsi"/>
          <w:b/>
          <w:sz w:val="32"/>
          <w:szCs w:val="32"/>
        </w:rPr>
      </w:pPr>
    </w:p>
    <w:p w:rsidR="00264D2B" w:rsidRDefault="00264D2B" w:rsidP="00264D2B">
      <w:pPr>
        <w:jc w:val="center"/>
        <w:rPr>
          <w:rFonts w:asciiTheme="minorHAnsi" w:hAnsiTheme="minorHAnsi"/>
          <w:b/>
          <w:sz w:val="32"/>
          <w:szCs w:val="32"/>
        </w:rPr>
      </w:pPr>
      <w:r w:rsidRPr="00465470">
        <w:rPr>
          <w:rFonts w:asciiTheme="minorHAnsi" w:hAnsiTheme="minorHAnsi"/>
          <w:b/>
          <w:sz w:val="32"/>
          <w:szCs w:val="32"/>
        </w:rPr>
        <w:t>INDICE</w:t>
      </w:r>
    </w:p>
    <w:p w:rsidR="007F4131" w:rsidRPr="00465470" w:rsidRDefault="007F4131" w:rsidP="00264D2B">
      <w:pPr>
        <w:jc w:val="center"/>
        <w:rPr>
          <w:rFonts w:asciiTheme="minorHAnsi" w:hAnsiTheme="minorHAnsi"/>
          <w:b/>
          <w:sz w:val="32"/>
          <w:szCs w:val="32"/>
        </w:rPr>
      </w:pPr>
    </w:p>
    <w:p w:rsidR="006C1F58" w:rsidRDefault="006C1F58" w:rsidP="006C1F58"/>
    <w:p w:rsidR="00B61E6C" w:rsidRDefault="006C1F58">
      <w:pPr>
        <w:pStyle w:val="TDC1"/>
        <w:rPr>
          <w:rFonts w:asciiTheme="minorHAnsi" w:eastAsiaTheme="minorEastAsia" w:hAnsiTheme="minorHAnsi" w:cstheme="minorBidi"/>
          <w:b w:val="0"/>
          <w:iCs w:val="0"/>
          <w:color w:val="auto"/>
          <w:sz w:val="22"/>
          <w:szCs w:val="22"/>
          <w:lang w:val="es-AR" w:eastAsia="es-AR"/>
        </w:rPr>
      </w:pPr>
      <w:r w:rsidRPr="00E072C3">
        <w:rPr>
          <w:rFonts w:asciiTheme="minorHAnsi" w:hAnsiTheme="minorHAnsi"/>
          <w:bCs/>
          <w:i/>
          <w:sz w:val="24"/>
          <w:szCs w:val="24"/>
          <w:u w:val="single"/>
        </w:rPr>
        <w:fldChar w:fldCharType="begin"/>
      </w:r>
      <w:r w:rsidRPr="00E072C3">
        <w:rPr>
          <w:u w:val="single"/>
        </w:rPr>
        <w:instrText xml:space="preserve"> TOC \o "1-3" \h \z \u </w:instrText>
      </w:r>
      <w:r w:rsidRPr="00E072C3">
        <w:rPr>
          <w:rFonts w:asciiTheme="minorHAnsi" w:hAnsiTheme="minorHAnsi"/>
          <w:bCs/>
          <w:i/>
          <w:sz w:val="24"/>
          <w:szCs w:val="24"/>
          <w:u w:val="single"/>
        </w:rPr>
        <w:fldChar w:fldCharType="separate"/>
      </w:r>
      <w:hyperlink w:anchor="_Toc3367369" w:history="1">
        <w:r w:rsidR="00B61E6C" w:rsidRPr="002B055C">
          <w:rPr>
            <w:rStyle w:val="Hipervnculo"/>
          </w:rPr>
          <w:t>1. INTRODUCCIÓN</w:t>
        </w:r>
        <w:r w:rsidR="00B61E6C">
          <w:rPr>
            <w:webHidden/>
          </w:rPr>
          <w:tab/>
        </w:r>
        <w:r w:rsidR="00B61E6C">
          <w:rPr>
            <w:webHidden/>
          </w:rPr>
          <w:fldChar w:fldCharType="begin"/>
        </w:r>
        <w:r w:rsidR="00B61E6C">
          <w:rPr>
            <w:webHidden/>
          </w:rPr>
          <w:instrText xml:space="preserve"> PAGEREF _Toc3367369 \h </w:instrText>
        </w:r>
        <w:r w:rsidR="00B61E6C">
          <w:rPr>
            <w:webHidden/>
          </w:rPr>
        </w:r>
        <w:r w:rsidR="00B61E6C">
          <w:rPr>
            <w:webHidden/>
          </w:rPr>
          <w:fldChar w:fldCharType="separate"/>
        </w:r>
        <w:r w:rsidR="005F2740">
          <w:rPr>
            <w:webHidden/>
          </w:rPr>
          <w:t>2</w:t>
        </w:r>
        <w:r w:rsidR="00B61E6C">
          <w:rPr>
            <w:webHidden/>
          </w:rPr>
          <w:fldChar w:fldCharType="end"/>
        </w:r>
      </w:hyperlink>
    </w:p>
    <w:p w:rsidR="00B61E6C" w:rsidRDefault="00332D55">
      <w:pPr>
        <w:pStyle w:val="TDC1"/>
        <w:rPr>
          <w:rFonts w:asciiTheme="minorHAnsi" w:eastAsiaTheme="minorEastAsia" w:hAnsiTheme="minorHAnsi" w:cstheme="minorBidi"/>
          <w:b w:val="0"/>
          <w:iCs w:val="0"/>
          <w:color w:val="auto"/>
          <w:sz w:val="22"/>
          <w:szCs w:val="22"/>
          <w:lang w:val="es-AR" w:eastAsia="es-AR"/>
        </w:rPr>
      </w:pPr>
      <w:hyperlink w:anchor="_Toc3367370" w:history="1">
        <w:r w:rsidR="00B61E6C" w:rsidRPr="002B055C">
          <w:rPr>
            <w:rStyle w:val="Hipervnculo"/>
          </w:rPr>
          <w:t>2. RESULTADOS FISCALES</w:t>
        </w:r>
        <w:r w:rsidR="00B61E6C">
          <w:rPr>
            <w:webHidden/>
          </w:rPr>
          <w:tab/>
        </w:r>
        <w:r w:rsidR="00B61E6C">
          <w:rPr>
            <w:webHidden/>
          </w:rPr>
          <w:fldChar w:fldCharType="begin"/>
        </w:r>
        <w:r w:rsidR="00B61E6C">
          <w:rPr>
            <w:webHidden/>
          </w:rPr>
          <w:instrText xml:space="preserve"> PAGEREF _Toc3367370 \h </w:instrText>
        </w:r>
        <w:r w:rsidR="00B61E6C">
          <w:rPr>
            <w:webHidden/>
          </w:rPr>
        </w:r>
        <w:r w:rsidR="00B61E6C">
          <w:rPr>
            <w:webHidden/>
          </w:rPr>
          <w:fldChar w:fldCharType="separate"/>
        </w:r>
        <w:r w:rsidR="005F2740">
          <w:rPr>
            <w:webHidden/>
          </w:rPr>
          <w:t>3</w:t>
        </w:r>
        <w:r w:rsidR="00B61E6C">
          <w:rPr>
            <w:webHidden/>
          </w:rPr>
          <w:fldChar w:fldCharType="end"/>
        </w:r>
      </w:hyperlink>
    </w:p>
    <w:p w:rsidR="00B61E6C" w:rsidRDefault="00332D55">
      <w:pPr>
        <w:pStyle w:val="TDC1"/>
        <w:rPr>
          <w:rFonts w:asciiTheme="minorHAnsi" w:eastAsiaTheme="minorEastAsia" w:hAnsiTheme="minorHAnsi" w:cstheme="minorBidi"/>
          <w:b w:val="0"/>
          <w:iCs w:val="0"/>
          <w:color w:val="auto"/>
          <w:sz w:val="22"/>
          <w:szCs w:val="22"/>
          <w:lang w:val="es-AR" w:eastAsia="es-AR"/>
        </w:rPr>
      </w:pPr>
      <w:hyperlink w:anchor="_Toc3367371" w:history="1">
        <w:r w:rsidR="00B61E6C" w:rsidRPr="002B055C">
          <w:rPr>
            <w:rStyle w:val="Hipervnculo"/>
          </w:rPr>
          <w:t>3. RECURSOS</w:t>
        </w:r>
        <w:r w:rsidR="00B61E6C">
          <w:rPr>
            <w:webHidden/>
          </w:rPr>
          <w:tab/>
        </w:r>
        <w:r w:rsidR="00B61E6C">
          <w:rPr>
            <w:webHidden/>
          </w:rPr>
          <w:fldChar w:fldCharType="begin"/>
        </w:r>
        <w:r w:rsidR="00B61E6C">
          <w:rPr>
            <w:webHidden/>
          </w:rPr>
          <w:instrText xml:space="preserve"> PAGEREF _Toc3367371 \h </w:instrText>
        </w:r>
        <w:r w:rsidR="00B61E6C">
          <w:rPr>
            <w:webHidden/>
          </w:rPr>
        </w:r>
        <w:r w:rsidR="00B61E6C">
          <w:rPr>
            <w:webHidden/>
          </w:rPr>
          <w:fldChar w:fldCharType="separate"/>
        </w:r>
        <w:r w:rsidR="005F2740">
          <w:rPr>
            <w:webHidden/>
          </w:rPr>
          <w:t>3</w:t>
        </w:r>
        <w:r w:rsidR="00B61E6C">
          <w:rPr>
            <w:webHidden/>
          </w:rPr>
          <w:fldChar w:fldCharType="end"/>
        </w:r>
      </w:hyperlink>
    </w:p>
    <w:p w:rsidR="00B61E6C" w:rsidRDefault="00332D55">
      <w:pPr>
        <w:pStyle w:val="TDC1"/>
        <w:rPr>
          <w:rFonts w:asciiTheme="minorHAnsi" w:eastAsiaTheme="minorEastAsia" w:hAnsiTheme="minorHAnsi" w:cstheme="minorBidi"/>
          <w:b w:val="0"/>
          <w:iCs w:val="0"/>
          <w:color w:val="auto"/>
          <w:sz w:val="22"/>
          <w:szCs w:val="22"/>
          <w:lang w:val="es-AR" w:eastAsia="es-AR"/>
        </w:rPr>
      </w:pPr>
      <w:hyperlink w:anchor="_Toc3367372" w:history="1">
        <w:r w:rsidR="00B61E6C" w:rsidRPr="002B055C">
          <w:rPr>
            <w:rStyle w:val="Hipervnculo"/>
          </w:rPr>
          <w:t>4. GASTOS</w:t>
        </w:r>
        <w:r w:rsidR="00B61E6C">
          <w:rPr>
            <w:webHidden/>
          </w:rPr>
          <w:tab/>
        </w:r>
        <w:r w:rsidR="00B61E6C">
          <w:rPr>
            <w:webHidden/>
          </w:rPr>
          <w:fldChar w:fldCharType="begin"/>
        </w:r>
        <w:r w:rsidR="00B61E6C">
          <w:rPr>
            <w:webHidden/>
          </w:rPr>
          <w:instrText xml:space="preserve"> PAGEREF _Toc3367372 \h </w:instrText>
        </w:r>
        <w:r w:rsidR="00B61E6C">
          <w:rPr>
            <w:webHidden/>
          </w:rPr>
        </w:r>
        <w:r w:rsidR="00B61E6C">
          <w:rPr>
            <w:webHidden/>
          </w:rPr>
          <w:fldChar w:fldCharType="separate"/>
        </w:r>
        <w:r w:rsidR="005F2740">
          <w:rPr>
            <w:webHidden/>
          </w:rPr>
          <w:t>7</w:t>
        </w:r>
        <w:r w:rsidR="00B61E6C">
          <w:rPr>
            <w:webHidden/>
          </w:rPr>
          <w:fldChar w:fldCharType="end"/>
        </w:r>
      </w:hyperlink>
    </w:p>
    <w:p w:rsidR="00B61E6C" w:rsidRDefault="00332D55">
      <w:pPr>
        <w:pStyle w:val="TDC3"/>
        <w:rPr>
          <w:rFonts w:asciiTheme="minorHAnsi" w:eastAsiaTheme="minorEastAsia" w:hAnsiTheme="minorHAnsi" w:cstheme="minorBidi"/>
          <w:b w:val="0"/>
          <w:noProof/>
          <w:color w:val="auto"/>
          <w:kern w:val="0"/>
          <w:sz w:val="22"/>
          <w:szCs w:val="22"/>
          <w:lang w:val="es-AR" w:eastAsia="es-AR"/>
        </w:rPr>
      </w:pPr>
      <w:hyperlink w:anchor="_Toc3367373" w:history="1">
        <w:r w:rsidR="00B61E6C" w:rsidRPr="002B055C">
          <w:rPr>
            <w:rStyle w:val="Hipervnculo"/>
            <w:noProof/>
          </w:rPr>
          <w:t>4.1. Análisis del Gasto según Clasificación Económica y por Objeto</w:t>
        </w:r>
        <w:r w:rsidR="00B61E6C">
          <w:rPr>
            <w:noProof/>
            <w:webHidden/>
          </w:rPr>
          <w:tab/>
        </w:r>
        <w:r w:rsidR="00B61E6C">
          <w:rPr>
            <w:noProof/>
            <w:webHidden/>
          </w:rPr>
          <w:fldChar w:fldCharType="begin"/>
        </w:r>
        <w:r w:rsidR="00B61E6C">
          <w:rPr>
            <w:noProof/>
            <w:webHidden/>
          </w:rPr>
          <w:instrText xml:space="preserve"> PAGEREF _Toc3367373 \h </w:instrText>
        </w:r>
        <w:r w:rsidR="00B61E6C">
          <w:rPr>
            <w:noProof/>
            <w:webHidden/>
          </w:rPr>
        </w:r>
        <w:r w:rsidR="00B61E6C">
          <w:rPr>
            <w:noProof/>
            <w:webHidden/>
          </w:rPr>
          <w:fldChar w:fldCharType="separate"/>
        </w:r>
        <w:r w:rsidR="005F2740">
          <w:rPr>
            <w:noProof/>
            <w:webHidden/>
          </w:rPr>
          <w:t>7</w:t>
        </w:r>
        <w:r w:rsidR="00B61E6C">
          <w:rPr>
            <w:noProof/>
            <w:webHidden/>
          </w:rPr>
          <w:fldChar w:fldCharType="end"/>
        </w:r>
      </w:hyperlink>
    </w:p>
    <w:p w:rsidR="00B61E6C" w:rsidRDefault="00332D55">
      <w:pPr>
        <w:pStyle w:val="TDC3"/>
        <w:rPr>
          <w:rFonts w:asciiTheme="minorHAnsi" w:eastAsiaTheme="minorEastAsia" w:hAnsiTheme="minorHAnsi" w:cstheme="minorBidi"/>
          <w:b w:val="0"/>
          <w:noProof/>
          <w:color w:val="auto"/>
          <w:kern w:val="0"/>
          <w:sz w:val="22"/>
          <w:szCs w:val="22"/>
          <w:lang w:val="es-AR" w:eastAsia="es-AR"/>
        </w:rPr>
      </w:pPr>
      <w:hyperlink w:anchor="_Toc3367374" w:history="1">
        <w:r w:rsidR="00B61E6C" w:rsidRPr="002B055C">
          <w:rPr>
            <w:rStyle w:val="Hipervnculo"/>
            <w:noProof/>
          </w:rPr>
          <w:t>4.2. Análisis del Gasto según Clasificación por Finalidad y Función</w:t>
        </w:r>
        <w:r w:rsidR="00B61E6C">
          <w:rPr>
            <w:noProof/>
            <w:webHidden/>
          </w:rPr>
          <w:tab/>
        </w:r>
        <w:r w:rsidR="00B61E6C">
          <w:rPr>
            <w:noProof/>
            <w:webHidden/>
          </w:rPr>
          <w:fldChar w:fldCharType="begin"/>
        </w:r>
        <w:r w:rsidR="00B61E6C">
          <w:rPr>
            <w:noProof/>
            <w:webHidden/>
          </w:rPr>
          <w:instrText xml:space="preserve"> PAGEREF _Toc3367374 \h </w:instrText>
        </w:r>
        <w:r w:rsidR="00B61E6C">
          <w:rPr>
            <w:noProof/>
            <w:webHidden/>
          </w:rPr>
        </w:r>
        <w:r w:rsidR="00B61E6C">
          <w:rPr>
            <w:noProof/>
            <w:webHidden/>
          </w:rPr>
          <w:fldChar w:fldCharType="separate"/>
        </w:r>
        <w:r w:rsidR="005F2740">
          <w:rPr>
            <w:noProof/>
            <w:webHidden/>
          </w:rPr>
          <w:t>10</w:t>
        </w:r>
        <w:r w:rsidR="00B61E6C">
          <w:rPr>
            <w:noProof/>
            <w:webHidden/>
          </w:rPr>
          <w:fldChar w:fldCharType="end"/>
        </w:r>
      </w:hyperlink>
    </w:p>
    <w:p w:rsidR="00B61E6C" w:rsidRDefault="00332D55">
      <w:pPr>
        <w:pStyle w:val="TDC1"/>
        <w:rPr>
          <w:rFonts w:asciiTheme="minorHAnsi" w:eastAsiaTheme="minorEastAsia" w:hAnsiTheme="minorHAnsi" w:cstheme="minorBidi"/>
          <w:b w:val="0"/>
          <w:iCs w:val="0"/>
          <w:color w:val="auto"/>
          <w:sz w:val="22"/>
          <w:szCs w:val="22"/>
          <w:lang w:val="es-AR" w:eastAsia="es-AR"/>
        </w:rPr>
      </w:pPr>
      <w:hyperlink w:anchor="_Toc3367375" w:history="1">
        <w:r w:rsidR="00B61E6C" w:rsidRPr="002B055C">
          <w:rPr>
            <w:rStyle w:val="Hipervnculo"/>
          </w:rPr>
          <w:t>ANEXO: Esquema AIF</w:t>
        </w:r>
        <w:r w:rsidR="00B61E6C">
          <w:rPr>
            <w:webHidden/>
          </w:rPr>
          <w:tab/>
        </w:r>
        <w:r w:rsidR="00B61E6C">
          <w:rPr>
            <w:webHidden/>
          </w:rPr>
          <w:fldChar w:fldCharType="begin"/>
        </w:r>
        <w:r w:rsidR="00B61E6C">
          <w:rPr>
            <w:webHidden/>
          </w:rPr>
          <w:instrText xml:space="preserve"> PAGEREF _Toc3367375 \h </w:instrText>
        </w:r>
        <w:r w:rsidR="00B61E6C">
          <w:rPr>
            <w:webHidden/>
          </w:rPr>
        </w:r>
        <w:r w:rsidR="00B61E6C">
          <w:rPr>
            <w:webHidden/>
          </w:rPr>
          <w:fldChar w:fldCharType="separate"/>
        </w:r>
        <w:r w:rsidR="005F2740">
          <w:rPr>
            <w:webHidden/>
          </w:rPr>
          <w:t>13</w:t>
        </w:r>
        <w:r w:rsidR="00B61E6C">
          <w:rPr>
            <w:webHidden/>
          </w:rPr>
          <w:fldChar w:fldCharType="end"/>
        </w:r>
      </w:hyperlink>
    </w:p>
    <w:p w:rsidR="006C1F58" w:rsidRPr="00FF6D45" w:rsidRDefault="006C1F58" w:rsidP="006C1F58">
      <w:pPr>
        <w:tabs>
          <w:tab w:val="right" w:leader="underscore" w:pos="8647"/>
        </w:tabs>
        <w:suppressAutoHyphens/>
        <w:spacing w:before="240" w:after="240" w:line="480" w:lineRule="auto"/>
        <w:ind w:right="-142"/>
        <w:jc w:val="center"/>
        <w:rPr>
          <w:rFonts w:ascii="Trebuchet MS" w:hAnsi="Trebuchet MS"/>
          <w:b/>
          <w:sz w:val="28"/>
          <w:szCs w:val="28"/>
          <w:u w:val="single"/>
        </w:rPr>
        <w:sectPr w:rsidR="006C1F58" w:rsidRPr="00FF6D45" w:rsidSect="006C1F58">
          <w:type w:val="continuous"/>
          <w:pgSz w:w="11907" w:h="16839" w:code="9"/>
          <w:pgMar w:top="1417" w:right="1559" w:bottom="1417" w:left="1701" w:header="567" w:footer="567" w:gutter="0"/>
          <w:pgNumType w:start="1"/>
          <w:cols w:space="708"/>
          <w:titlePg/>
          <w:docGrid w:linePitch="360"/>
        </w:sectPr>
      </w:pPr>
      <w:r w:rsidRPr="00E072C3">
        <w:rPr>
          <w:rFonts w:ascii="Trebuchet MS" w:hAnsi="Trebuchet MS"/>
          <w:b/>
          <w:sz w:val="28"/>
          <w:szCs w:val="28"/>
          <w:u w:val="single"/>
        </w:rPr>
        <w:fldChar w:fldCharType="end"/>
      </w:r>
    </w:p>
    <w:p w:rsidR="006F4161" w:rsidRPr="00465470" w:rsidRDefault="006F4161" w:rsidP="00844952">
      <w:pPr>
        <w:rPr>
          <w:rFonts w:asciiTheme="minorHAnsi" w:hAnsiTheme="minorHAnsi"/>
          <w:b/>
        </w:rPr>
      </w:pPr>
    </w:p>
    <w:bookmarkStart w:id="0" w:name="_Toc456716570"/>
    <w:p w:rsidR="00B137E3" w:rsidRPr="00264D2B" w:rsidRDefault="006F4161" w:rsidP="0025674A">
      <w:pPr>
        <w:rPr>
          <w:b/>
        </w:rPr>
        <w:sectPr w:rsidR="00B137E3" w:rsidRPr="00264D2B" w:rsidSect="00590BFD">
          <w:type w:val="continuous"/>
          <w:pgSz w:w="11907" w:h="16839" w:code="9"/>
          <w:pgMar w:top="1417" w:right="1842" w:bottom="1417" w:left="1701" w:header="567" w:footer="567" w:gutter="0"/>
          <w:cols w:space="708"/>
          <w:titlePg/>
          <w:docGrid w:linePitch="360"/>
        </w:sectPr>
      </w:pPr>
      <w:r>
        <w:rPr>
          <w:b/>
        </w:rPr>
        <w:fldChar w:fldCharType="begin"/>
      </w:r>
      <w:r>
        <w:rPr>
          <w:b/>
        </w:rPr>
        <w:instrText xml:space="preserve"> TOC \o "1-1" \p " " \h \z \u </w:instrText>
      </w:r>
      <w:r>
        <w:rPr>
          <w:b/>
        </w:rPr>
        <w:fldChar w:fldCharType="end"/>
      </w:r>
      <w:r w:rsidR="0025674A">
        <w:rPr>
          <w:b/>
        </w:rPr>
        <w:fldChar w:fldCharType="begin"/>
      </w:r>
      <w:r w:rsidR="0025674A">
        <w:rPr>
          <w:b/>
        </w:rPr>
        <w:instrText xml:space="preserve"> INDEX \c "2" \z "11274" </w:instrText>
      </w:r>
      <w:r w:rsidR="0025674A">
        <w:rPr>
          <w:b/>
        </w:rPr>
        <w:fldChar w:fldCharType="end"/>
      </w:r>
    </w:p>
    <w:p w:rsidR="00371929" w:rsidRPr="006F4161" w:rsidRDefault="00B61E6C" w:rsidP="00B61E6C">
      <w:pPr>
        <w:pStyle w:val="Ttulo1"/>
        <w:numPr>
          <w:ilvl w:val="0"/>
          <w:numId w:val="0"/>
        </w:numPr>
      </w:pPr>
      <w:bookmarkStart w:id="1" w:name="_Toc500246795"/>
      <w:bookmarkStart w:id="2" w:name="_Toc532574485"/>
      <w:bookmarkStart w:id="3" w:name="_Toc3367369"/>
      <w:r>
        <w:lastRenderedPageBreak/>
        <w:t xml:space="preserve">1. </w:t>
      </w:r>
      <w:r w:rsidR="00862BDF" w:rsidRPr="006F4161">
        <w:t>INTRODUCCIÓN</w:t>
      </w:r>
      <w:bookmarkEnd w:id="0"/>
      <w:bookmarkEnd w:id="1"/>
      <w:bookmarkEnd w:id="2"/>
      <w:bookmarkEnd w:id="3"/>
    </w:p>
    <w:p w:rsidR="00125230" w:rsidRPr="007A06DC" w:rsidRDefault="00125230" w:rsidP="00B137E3">
      <w:pPr>
        <w:pBdr>
          <w:top w:val="single" w:sz="4" w:space="1" w:color="auto"/>
        </w:pBdr>
        <w:suppressAutoHyphens/>
        <w:ind w:right="142"/>
        <w:jc w:val="both"/>
        <w:rPr>
          <w:rFonts w:ascii="Calibri" w:hAnsi="Calibri"/>
        </w:rPr>
      </w:pPr>
    </w:p>
    <w:p w:rsidR="00D64398" w:rsidRPr="0053292B" w:rsidRDefault="00D64398" w:rsidP="00B64D16">
      <w:pPr>
        <w:suppressAutoHyphens/>
        <w:ind w:right="142"/>
        <w:jc w:val="both"/>
        <w:rPr>
          <w:rFonts w:asciiTheme="minorHAnsi" w:hAnsiTheme="minorHAnsi"/>
        </w:rPr>
      </w:pPr>
      <w:bookmarkStart w:id="4" w:name="_Toc306295168"/>
      <w:r w:rsidRPr="0053292B">
        <w:rPr>
          <w:rFonts w:asciiTheme="minorHAnsi" w:hAnsiTheme="minorHAnsi"/>
        </w:rPr>
        <w:t xml:space="preserve">El presente informe </w:t>
      </w:r>
      <w:r w:rsidR="000B14A7" w:rsidRPr="0053292B">
        <w:rPr>
          <w:rFonts w:asciiTheme="minorHAnsi" w:hAnsiTheme="minorHAnsi"/>
        </w:rPr>
        <w:t>ofrece</w:t>
      </w:r>
      <w:r w:rsidRPr="0053292B">
        <w:rPr>
          <w:rFonts w:asciiTheme="minorHAnsi" w:hAnsiTheme="minorHAnsi"/>
        </w:rPr>
        <w:t xml:space="preserve"> un breve análisis fiscal </w:t>
      </w:r>
      <w:r w:rsidR="00D160B9" w:rsidRPr="0053292B">
        <w:rPr>
          <w:rFonts w:asciiTheme="minorHAnsi" w:hAnsiTheme="minorHAnsi"/>
        </w:rPr>
        <w:t>cumplido el primer trimestre</w:t>
      </w:r>
      <w:r w:rsidR="00A20E6A" w:rsidRPr="0053292B">
        <w:rPr>
          <w:rFonts w:asciiTheme="minorHAnsi" w:hAnsiTheme="minorHAnsi"/>
        </w:rPr>
        <w:t xml:space="preserve"> </w:t>
      </w:r>
      <w:r w:rsidRPr="0053292B">
        <w:rPr>
          <w:rFonts w:asciiTheme="minorHAnsi" w:hAnsiTheme="minorHAnsi"/>
        </w:rPr>
        <w:t>de 20</w:t>
      </w:r>
      <w:r w:rsidR="003C1E4C" w:rsidRPr="0053292B">
        <w:rPr>
          <w:rFonts w:asciiTheme="minorHAnsi" w:hAnsiTheme="minorHAnsi"/>
        </w:rPr>
        <w:t>2</w:t>
      </w:r>
      <w:r w:rsidR="00745967">
        <w:rPr>
          <w:rFonts w:asciiTheme="minorHAnsi" w:hAnsiTheme="minorHAnsi"/>
        </w:rPr>
        <w:t>2</w:t>
      </w:r>
      <w:r w:rsidRPr="0053292B">
        <w:rPr>
          <w:rFonts w:asciiTheme="minorHAnsi" w:hAnsiTheme="minorHAnsi"/>
        </w:rPr>
        <w:t xml:space="preserve"> para el consolidado de las 23 jurisdicciones provinciales y la Ciudad Autónoma de Buenos Aires. El universo institucional comprendido es la Administración Pública </w:t>
      </w:r>
      <w:r w:rsidR="00FB3BFA" w:rsidRPr="0053292B">
        <w:rPr>
          <w:rFonts w:asciiTheme="minorHAnsi" w:hAnsiTheme="minorHAnsi"/>
        </w:rPr>
        <w:t>N</w:t>
      </w:r>
      <w:r w:rsidRPr="0053292B">
        <w:rPr>
          <w:rFonts w:asciiTheme="minorHAnsi" w:hAnsiTheme="minorHAnsi"/>
        </w:rPr>
        <w:t xml:space="preserve">o Financiera (APNF), que está </w:t>
      </w:r>
      <w:r w:rsidR="003C1E4C" w:rsidRPr="0053292B">
        <w:rPr>
          <w:rFonts w:asciiTheme="minorHAnsi" w:hAnsiTheme="minorHAnsi"/>
        </w:rPr>
        <w:t>conform</w:t>
      </w:r>
      <w:r w:rsidRPr="0053292B">
        <w:rPr>
          <w:rFonts w:asciiTheme="minorHAnsi" w:hAnsiTheme="minorHAnsi"/>
        </w:rPr>
        <w:t xml:space="preserve">ada por la Administración Central, los Organismos Descentralizados, los Fondos Fiduciarios, </w:t>
      </w:r>
      <w:r w:rsidR="003C1E4C" w:rsidRPr="0053292B">
        <w:rPr>
          <w:rFonts w:asciiTheme="minorHAnsi" w:hAnsiTheme="minorHAnsi"/>
        </w:rPr>
        <w:t xml:space="preserve">las </w:t>
      </w:r>
      <w:r w:rsidRPr="0053292B">
        <w:rPr>
          <w:rFonts w:asciiTheme="minorHAnsi" w:hAnsiTheme="minorHAnsi"/>
        </w:rPr>
        <w:t>Cuentas Especiales y las Instituciones de la Seguridad Social.</w:t>
      </w:r>
    </w:p>
    <w:p w:rsidR="00D64398" w:rsidRPr="0053292B" w:rsidRDefault="00D64398" w:rsidP="00B64D16">
      <w:pPr>
        <w:suppressAutoHyphens/>
        <w:ind w:right="142"/>
        <w:jc w:val="both"/>
        <w:rPr>
          <w:rFonts w:asciiTheme="minorHAnsi" w:hAnsiTheme="minorHAnsi"/>
        </w:rPr>
      </w:pPr>
    </w:p>
    <w:p w:rsidR="00132F9F" w:rsidRPr="0053292B" w:rsidRDefault="00132F9F" w:rsidP="00132F9F">
      <w:pPr>
        <w:suppressAutoHyphens/>
        <w:ind w:right="142"/>
        <w:jc w:val="both"/>
        <w:rPr>
          <w:rFonts w:asciiTheme="minorHAnsi" w:hAnsiTheme="minorHAnsi"/>
        </w:rPr>
      </w:pPr>
      <w:r w:rsidRPr="0053292B">
        <w:rPr>
          <w:rFonts w:asciiTheme="minorHAnsi" w:hAnsiTheme="minorHAnsi"/>
        </w:rPr>
        <w:t xml:space="preserve">La principal fuente de información son las ejecuciones presupuestarias </w:t>
      </w:r>
      <w:r w:rsidR="0053292B" w:rsidRPr="0053292B">
        <w:rPr>
          <w:rFonts w:asciiTheme="minorHAnsi" w:hAnsiTheme="minorHAnsi"/>
        </w:rPr>
        <w:t>publicad</w:t>
      </w:r>
      <w:r w:rsidRPr="0053292B">
        <w:rPr>
          <w:rFonts w:asciiTheme="minorHAnsi" w:hAnsiTheme="minorHAnsi"/>
        </w:rPr>
        <w:t xml:space="preserve">as por las Provincias, </w:t>
      </w:r>
      <w:r w:rsidR="0053292B" w:rsidRPr="0053292B">
        <w:rPr>
          <w:rFonts w:asciiTheme="minorHAnsi" w:hAnsiTheme="minorHAnsi"/>
        </w:rPr>
        <w:t>eventual</w:t>
      </w:r>
      <w:r w:rsidR="003C1E4C" w:rsidRPr="0053292B">
        <w:rPr>
          <w:rFonts w:asciiTheme="minorHAnsi" w:hAnsiTheme="minorHAnsi"/>
        </w:rPr>
        <w:t>mente ajustadas con el propósito</w:t>
      </w:r>
      <w:r w:rsidRPr="0053292B">
        <w:rPr>
          <w:rFonts w:asciiTheme="minorHAnsi" w:hAnsiTheme="minorHAnsi"/>
        </w:rPr>
        <w:t xml:space="preserve"> de armonizar criterios de imputación de recursos y gastos</w:t>
      </w:r>
      <w:r w:rsidR="003C1E4C" w:rsidRPr="0053292B">
        <w:rPr>
          <w:rFonts w:asciiTheme="minorHAnsi" w:hAnsiTheme="minorHAnsi"/>
        </w:rPr>
        <w:t xml:space="preserve"> entre las jurisdicciones</w:t>
      </w:r>
      <w:r w:rsidRPr="0053292B">
        <w:rPr>
          <w:rFonts w:asciiTheme="minorHAnsi" w:hAnsiTheme="minorHAnsi"/>
        </w:rPr>
        <w:t>, como así también a efectos de mantener su correspondencia con los registros presupuestarios del Gobierno Nacional</w:t>
      </w:r>
      <w:r w:rsidRPr="0053292B">
        <w:rPr>
          <w:rStyle w:val="Refdenotaalpie"/>
          <w:rFonts w:asciiTheme="minorHAnsi" w:hAnsiTheme="minorHAnsi"/>
        </w:rPr>
        <w:footnoteReference w:id="1"/>
      </w:r>
      <w:r w:rsidRPr="0053292B">
        <w:rPr>
          <w:rFonts w:asciiTheme="minorHAnsi" w:hAnsiTheme="minorHAnsi"/>
        </w:rPr>
        <w:t>.</w:t>
      </w:r>
    </w:p>
    <w:p w:rsidR="00132F9F" w:rsidRPr="0053292B" w:rsidRDefault="00132F9F" w:rsidP="00132F9F">
      <w:pPr>
        <w:suppressAutoHyphens/>
        <w:ind w:right="142"/>
        <w:jc w:val="both"/>
        <w:rPr>
          <w:rFonts w:asciiTheme="minorHAnsi" w:hAnsiTheme="minorHAnsi"/>
        </w:rPr>
      </w:pPr>
    </w:p>
    <w:p w:rsidR="00D64398" w:rsidRPr="0053292B" w:rsidRDefault="00222E84" w:rsidP="00B64D16">
      <w:pPr>
        <w:suppressAutoHyphens/>
        <w:ind w:right="142"/>
        <w:jc w:val="both"/>
        <w:rPr>
          <w:rFonts w:asciiTheme="minorHAnsi" w:hAnsiTheme="minorHAnsi"/>
        </w:rPr>
      </w:pPr>
      <w:r w:rsidRPr="0053292B">
        <w:rPr>
          <w:rFonts w:asciiTheme="minorHAnsi" w:hAnsiTheme="minorHAnsi"/>
        </w:rPr>
        <w:t>El informe</w:t>
      </w:r>
      <w:r w:rsidR="00D64398" w:rsidRPr="0053292B">
        <w:rPr>
          <w:rFonts w:asciiTheme="minorHAnsi" w:hAnsiTheme="minorHAnsi"/>
        </w:rPr>
        <w:t xml:space="preserve"> </w:t>
      </w:r>
      <w:r w:rsidR="000B2065" w:rsidRPr="0053292B">
        <w:rPr>
          <w:rFonts w:asciiTheme="minorHAnsi" w:hAnsiTheme="minorHAnsi"/>
        </w:rPr>
        <w:t>presenta</w:t>
      </w:r>
      <w:r w:rsidR="008372EC" w:rsidRPr="0053292B">
        <w:rPr>
          <w:rFonts w:asciiTheme="minorHAnsi" w:hAnsiTheme="minorHAnsi"/>
        </w:rPr>
        <w:t xml:space="preserve"> </w:t>
      </w:r>
      <w:r w:rsidRPr="0053292B">
        <w:rPr>
          <w:rFonts w:asciiTheme="minorHAnsi" w:hAnsiTheme="minorHAnsi"/>
        </w:rPr>
        <w:t xml:space="preserve">en primer lugar </w:t>
      </w:r>
      <w:r w:rsidR="00D64398" w:rsidRPr="0053292B">
        <w:rPr>
          <w:rFonts w:asciiTheme="minorHAnsi" w:hAnsiTheme="minorHAnsi"/>
        </w:rPr>
        <w:t xml:space="preserve">la evolución </w:t>
      </w:r>
      <w:r w:rsidR="000B2065" w:rsidRPr="0053292B">
        <w:rPr>
          <w:rFonts w:asciiTheme="minorHAnsi" w:hAnsiTheme="minorHAnsi"/>
        </w:rPr>
        <w:t xml:space="preserve">trimestral </w:t>
      </w:r>
      <w:r w:rsidR="00D64398" w:rsidRPr="0053292B">
        <w:rPr>
          <w:rFonts w:asciiTheme="minorHAnsi" w:hAnsiTheme="minorHAnsi"/>
        </w:rPr>
        <w:t xml:space="preserve">de los principales agregados fiscales del esquema Ahorro-Inversión-Financiamiento (AIF), </w:t>
      </w:r>
      <w:r w:rsidR="000B2065" w:rsidRPr="0053292B">
        <w:rPr>
          <w:rFonts w:asciiTheme="minorHAnsi" w:hAnsiTheme="minorHAnsi"/>
        </w:rPr>
        <w:t xml:space="preserve">es decir </w:t>
      </w:r>
      <w:r w:rsidR="001C6DF9" w:rsidRPr="0053292B">
        <w:rPr>
          <w:rFonts w:asciiTheme="minorHAnsi" w:hAnsiTheme="minorHAnsi"/>
        </w:rPr>
        <w:t xml:space="preserve">de los resultados fiscales tanto financiero como primario, los </w:t>
      </w:r>
      <w:r w:rsidR="00D64398" w:rsidRPr="0053292B">
        <w:rPr>
          <w:rFonts w:asciiTheme="minorHAnsi" w:hAnsiTheme="minorHAnsi"/>
        </w:rPr>
        <w:t>recursos percibidos</w:t>
      </w:r>
      <w:r w:rsidR="001C6DF9" w:rsidRPr="0053292B">
        <w:rPr>
          <w:rFonts w:asciiTheme="minorHAnsi" w:hAnsiTheme="minorHAnsi"/>
        </w:rPr>
        <w:t xml:space="preserve"> y</w:t>
      </w:r>
      <w:r w:rsidR="00D64398" w:rsidRPr="0053292B">
        <w:rPr>
          <w:rFonts w:asciiTheme="minorHAnsi" w:hAnsiTheme="minorHAnsi"/>
        </w:rPr>
        <w:t xml:space="preserve"> los gastos devengados por las jurisdicciones</w:t>
      </w:r>
      <w:r w:rsidR="00632AB1" w:rsidRPr="0053292B">
        <w:rPr>
          <w:rFonts w:asciiTheme="minorHAnsi" w:hAnsiTheme="minorHAnsi"/>
        </w:rPr>
        <w:t>.</w:t>
      </w:r>
    </w:p>
    <w:p w:rsidR="00632AB1" w:rsidRPr="0053292B" w:rsidRDefault="00632AB1" w:rsidP="00B64D16">
      <w:pPr>
        <w:suppressAutoHyphens/>
        <w:ind w:right="142"/>
        <w:jc w:val="both"/>
        <w:rPr>
          <w:rFonts w:asciiTheme="minorHAnsi" w:hAnsiTheme="minorHAnsi"/>
        </w:rPr>
      </w:pPr>
    </w:p>
    <w:p w:rsidR="00E15901" w:rsidRPr="0053292B" w:rsidRDefault="00AF3F66" w:rsidP="00B64D16">
      <w:pPr>
        <w:suppressAutoHyphens/>
        <w:ind w:right="142"/>
        <w:jc w:val="both"/>
        <w:rPr>
          <w:rFonts w:asciiTheme="minorHAnsi" w:hAnsiTheme="minorHAnsi"/>
        </w:rPr>
      </w:pPr>
      <w:r w:rsidRPr="0053292B">
        <w:rPr>
          <w:rFonts w:asciiTheme="minorHAnsi" w:hAnsiTheme="minorHAnsi"/>
        </w:rPr>
        <w:t>Luego se aborda el comportamiento de</w:t>
      </w:r>
      <w:r w:rsidR="00726A1E" w:rsidRPr="0053292B">
        <w:rPr>
          <w:rFonts w:asciiTheme="minorHAnsi" w:hAnsiTheme="minorHAnsi"/>
        </w:rPr>
        <w:t xml:space="preserve"> </w:t>
      </w:r>
      <w:r w:rsidR="00D64398" w:rsidRPr="0053292B">
        <w:rPr>
          <w:rFonts w:asciiTheme="minorHAnsi" w:hAnsiTheme="minorHAnsi"/>
        </w:rPr>
        <w:t xml:space="preserve">los </w:t>
      </w:r>
      <w:r w:rsidR="00617358" w:rsidRPr="0053292B">
        <w:rPr>
          <w:rFonts w:asciiTheme="minorHAnsi" w:hAnsiTheme="minorHAnsi"/>
        </w:rPr>
        <w:t>R</w:t>
      </w:r>
      <w:r w:rsidR="00D64398" w:rsidRPr="0053292B">
        <w:rPr>
          <w:rFonts w:asciiTheme="minorHAnsi" w:hAnsiTheme="minorHAnsi"/>
        </w:rPr>
        <w:t>ecursos,</w:t>
      </w:r>
      <w:r w:rsidR="00726A1E" w:rsidRPr="0053292B">
        <w:rPr>
          <w:rFonts w:asciiTheme="minorHAnsi" w:hAnsiTheme="minorHAnsi"/>
        </w:rPr>
        <w:t xml:space="preserve"> </w:t>
      </w:r>
      <w:r w:rsidR="00C823A4" w:rsidRPr="0053292B">
        <w:rPr>
          <w:rFonts w:asciiTheme="minorHAnsi" w:hAnsiTheme="minorHAnsi"/>
        </w:rPr>
        <w:t>considera</w:t>
      </w:r>
      <w:r w:rsidR="00FB3BFA" w:rsidRPr="0053292B">
        <w:rPr>
          <w:rFonts w:asciiTheme="minorHAnsi" w:hAnsiTheme="minorHAnsi"/>
        </w:rPr>
        <w:t>ndo</w:t>
      </w:r>
      <w:r w:rsidR="00C823A4" w:rsidRPr="0053292B">
        <w:rPr>
          <w:rFonts w:asciiTheme="minorHAnsi" w:hAnsiTheme="minorHAnsi"/>
        </w:rPr>
        <w:t xml:space="preserve"> en primer término </w:t>
      </w:r>
      <w:r w:rsidR="00D4597B" w:rsidRPr="0053292B">
        <w:rPr>
          <w:rFonts w:asciiTheme="minorHAnsi" w:hAnsiTheme="minorHAnsi"/>
        </w:rPr>
        <w:t>el desempeño comparativo</w:t>
      </w:r>
      <w:r w:rsidR="00C823A4" w:rsidRPr="0053292B">
        <w:rPr>
          <w:rFonts w:asciiTheme="minorHAnsi" w:hAnsiTheme="minorHAnsi"/>
        </w:rPr>
        <w:t xml:space="preserve"> de </w:t>
      </w:r>
      <w:r w:rsidR="00572BC6" w:rsidRPr="0053292B">
        <w:rPr>
          <w:rFonts w:asciiTheme="minorHAnsi" w:hAnsiTheme="minorHAnsi"/>
        </w:rPr>
        <w:t xml:space="preserve">los </w:t>
      </w:r>
      <w:r w:rsidR="0053292B" w:rsidRPr="0053292B">
        <w:rPr>
          <w:rFonts w:asciiTheme="minorHAnsi" w:hAnsiTheme="minorHAnsi"/>
        </w:rPr>
        <w:t>I</w:t>
      </w:r>
      <w:r w:rsidR="00572BC6" w:rsidRPr="0053292B">
        <w:rPr>
          <w:rFonts w:asciiTheme="minorHAnsi" w:hAnsiTheme="minorHAnsi"/>
        </w:rPr>
        <w:t>ngresos</w:t>
      </w:r>
      <w:r w:rsidR="00D64398" w:rsidRPr="0053292B">
        <w:rPr>
          <w:rFonts w:asciiTheme="minorHAnsi" w:hAnsiTheme="minorHAnsi"/>
        </w:rPr>
        <w:t xml:space="preserve"> Corrientes y de Capital</w:t>
      </w:r>
      <w:r w:rsidR="00696671" w:rsidRPr="0053292B">
        <w:rPr>
          <w:rFonts w:asciiTheme="minorHAnsi" w:hAnsiTheme="minorHAnsi"/>
        </w:rPr>
        <w:t>, respecto del primer trimestre del año anterior,</w:t>
      </w:r>
      <w:r w:rsidR="00C823A4" w:rsidRPr="0053292B">
        <w:rPr>
          <w:rFonts w:asciiTheme="minorHAnsi" w:hAnsiTheme="minorHAnsi"/>
        </w:rPr>
        <w:t xml:space="preserve"> y a continuación los conceptos </w:t>
      </w:r>
      <w:r w:rsidR="00726A1E" w:rsidRPr="0053292B">
        <w:rPr>
          <w:rFonts w:asciiTheme="minorHAnsi" w:hAnsiTheme="minorHAnsi"/>
        </w:rPr>
        <w:t>agreg</w:t>
      </w:r>
      <w:r w:rsidR="00C823A4" w:rsidRPr="0053292B">
        <w:rPr>
          <w:rFonts w:asciiTheme="minorHAnsi" w:hAnsiTheme="minorHAnsi"/>
        </w:rPr>
        <w:t>ados</w:t>
      </w:r>
      <w:r w:rsidR="00E357DA" w:rsidRPr="0053292B">
        <w:rPr>
          <w:rFonts w:asciiTheme="minorHAnsi" w:hAnsiTheme="minorHAnsi"/>
        </w:rPr>
        <w:t xml:space="preserve"> de cada ítem.</w:t>
      </w:r>
      <w:r w:rsidR="00FE1DCA" w:rsidRPr="0053292B">
        <w:rPr>
          <w:rFonts w:asciiTheme="minorHAnsi" w:hAnsiTheme="minorHAnsi"/>
        </w:rPr>
        <w:t xml:space="preserve"> </w:t>
      </w:r>
      <w:r w:rsidR="00E357DA" w:rsidRPr="0053292B">
        <w:rPr>
          <w:rFonts w:asciiTheme="minorHAnsi" w:hAnsiTheme="minorHAnsi"/>
        </w:rPr>
        <w:t xml:space="preserve">En el caso de </w:t>
      </w:r>
      <w:r w:rsidR="00726A1E" w:rsidRPr="0053292B">
        <w:rPr>
          <w:rFonts w:asciiTheme="minorHAnsi" w:hAnsiTheme="minorHAnsi"/>
        </w:rPr>
        <w:t>lo</w:t>
      </w:r>
      <w:r w:rsidR="00D64398" w:rsidRPr="0053292B">
        <w:rPr>
          <w:rFonts w:asciiTheme="minorHAnsi" w:hAnsiTheme="minorHAnsi"/>
        </w:rPr>
        <w:t>s</w:t>
      </w:r>
      <w:r w:rsidR="00726A1E" w:rsidRPr="0053292B">
        <w:rPr>
          <w:rFonts w:asciiTheme="minorHAnsi" w:hAnsiTheme="minorHAnsi"/>
        </w:rPr>
        <w:t xml:space="preserve"> </w:t>
      </w:r>
      <w:r w:rsidR="0053292B" w:rsidRPr="0053292B">
        <w:rPr>
          <w:rFonts w:asciiTheme="minorHAnsi" w:hAnsiTheme="minorHAnsi"/>
        </w:rPr>
        <w:t>I</w:t>
      </w:r>
      <w:r w:rsidR="00726A1E" w:rsidRPr="0053292B">
        <w:rPr>
          <w:rFonts w:asciiTheme="minorHAnsi" w:hAnsiTheme="minorHAnsi"/>
        </w:rPr>
        <w:t>ngresos Corrientes</w:t>
      </w:r>
      <w:r w:rsidR="00617358" w:rsidRPr="0053292B">
        <w:rPr>
          <w:rFonts w:asciiTheme="minorHAnsi" w:hAnsiTheme="minorHAnsi"/>
        </w:rPr>
        <w:t xml:space="preserve"> se </w:t>
      </w:r>
      <w:r w:rsidR="0053292B" w:rsidRPr="0053292B">
        <w:rPr>
          <w:rFonts w:asciiTheme="minorHAnsi" w:hAnsiTheme="minorHAnsi"/>
        </w:rPr>
        <w:t>verific</w:t>
      </w:r>
      <w:r w:rsidR="00770F24" w:rsidRPr="0053292B">
        <w:rPr>
          <w:rFonts w:asciiTheme="minorHAnsi" w:hAnsiTheme="minorHAnsi"/>
        </w:rPr>
        <w:t xml:space="preserve">a la evolución de </w:t>
      </w:r>
      <w:r w:rsidR="00617358" w:rsidRPr="0053292B">
        <w:rPr>
          <w:rFonts w:asciiTheme="minorHAnsi" w:hAnsiTheme="minorHAnsi"/>
        </w:rPr>
        <w:t>los</w:t>
      </w:r>
      <w:r w:rsidR="00D64398" w:rsidRPr="0053292B">
        <w:rPr>
          <w:rFonts w:asciiTheme="minorHAnsi" w:hAnsiTheme="minorHAnsi"/>
        </w:rPr>
        <w:t xml:space="preserve"> </w:t>
      </w:r>
      <w:r w:rsidR="0053292B" w:rsidRPr="0053292B">
        <w:rPr>
          <w:rFonts w:asciiTheme="minorHAnsi" w:hAnsiTheme="minorHAnsi"/>
        </w:rPr>
        <w:t>R</w:t>
      </w:r>
      <w:r w:rsidR="00770F24" w:rsidRPr="0053292B">
        <w:rPr>
          <w:rFonts w:asciiTheme="minorHAnsi" w:hAnsiTheme="minorHAnsi"/>
        </w:rPr>
        <w:t xml:space="preserve">ecursos </w:t>
      </w:r>
      <w:r w:rsidR="00617358" w:rsidRPr="0053292B">
        <w:rPr>
          <w:rFonts w:asciiTheme="minorHAnsi" w:hAnsiTheme="minorHAnsi"/>
        </w:rPr>
        <w:t>T</w:t>
      </w:r>
      <w:r w:rsidR="00D64398" w:rsidRPr="0053292B">
        <w:rPr>
          <w:rFonts w:asciiTheme="minorHAnsi" w:hAnsiTheme="minorHAnsi"/>
        </w:rPr>
        <w:t xml:space="preserve">ributarios </w:t>
      </w:r>
      <w:r w:rsidR="00617358" w:rsidRPr="0053292B">
        <w:rPr>
          <w:rFonts w:asciiTheme="minorHAnsi" w:hAnsiTheme="minorHAnsi"/>
        </w:rPr>
        <w:t>(</w:t>
      </w:r>
      <w:r w:rsidR="00D64398" w:rsidRPr="0053292B">
        <w:rPr>
          <w:rFonts w:asciiTheme="minorHAnsi" w:hAnsiTheme="minorHAnsi"/>
        </w:rPr>
        <w:t>de origen Provincial y Nacional</w:t>
      </w:r>
      <w:r w:rsidR="00617358" w:rsidRPr="0053292B">
        <w:rPr>
          <w:rFonts w:asciiTheme="minorHAnsi" w:hAnsiTheme="minorHAnsi"/>
        </w:rPr>
        <w:t>)</w:t>
      </w:r>
      <w:r w:rsidR="00D64398" w:rsidRPr="0053292B">
        <w:rPr>
          <w:rFonts w:asciiTheme="minorHAnsi" w:hAnsiTheme="minorHAnsi"/>
        </w:rPr>
        <w:t>,</w:t>
      </w:r>
      <w:r w:rsidR="00617358" w:rsidRPr="0053292B">
        <w:rPr>
          <w:rFonts w:asciiTheme="minorHAnsi" w:hAnsiTheme="minorHAnsi"/>
        </w:rPr>
        <w:t xml:space="preserve"> los</w:t>
      </w:r>
      <w:r w:rsidR="00D64398" w:rsidRPr="0053292B">
        <w:rPr>
          <w:rFonts w:asciiTheme="minorHAnsi" w:hAnsiTheme="minorHAnsi"/>
        </w:rPr>
        <w:t xml:space="preserve"> </w:t>
      </w:r>
      <w:r w:rsidR="00617358" w:rsidRPr="0053292B">
        <w:rPr>
          <w:rFonts w:asciiTheme="minorHAnsi" w:hAnsiTheme="minorHAnsi"/>
        </w:rPr>
        <w:t>N</w:t>
      </w:r>
      <w:r w:rsidR="00D64398" w:rsidRPr="0053292B">
        <w:rPr>
          <w:rFonts w:asciiTheme="minorHAnsi" w:hAnsiTheme="minorHAnsi"/>
        </w:rPr>
        <w:t xml:space="preserve">o </w:t>
      </w:r>
      <w:r w:rsidR="00617358" w:rsidRPr="0053292B">
        <w:rPr>
          <w:rFonts w:asciiTheme="minorHAnsi" w:hAnsiTheme="minorHAnsi"/>
        </w:rPr>
        <w:t>T</w:t>
      </w:r>
      <w:r w:rsidR="00D64398" w:rsidRPr="0053292B">
        <w:rPr>
          <w:rFonts w:asciiTheme="minorHAnsi" w:hAnsiTheme="minorHAnsi"/>
        </w:rPr>
        <w:t>ributarios</w:t>
      </w:r>
      <w:r w:rsidR="00617358" w:rsidRPr="0053292B">
        <w:rPr>
          <w:rFonts w:asciiTheme="minorHAnsi" w:hAnsiTheme="minorHAnsi"/>
        </w:rPr>
        <w:t>, las</w:t>
      </w:r>
      <w:r w:rsidR="00D64398" w:rsidRPr="0053292B">
        <w:rPr>
          <w:rFonts w:asciiTheme="minorHAnsi" w:hAnsiTheme="minorHAnsi"/>
        </w:rPr>
        <w:t xml:space="preserve"> </w:t>
      </w:r>
      <w:r w:rsidR="0053292B" w:rsidRPr="0053292B">
        <w:rPr>
          <w:rFonts w:asciiTheme="minorHAnsi" w:hAnsiTheme="minorHAnsi"/>
        </w:rPr>
        <w:t>T</w:t>
      </w:r>
      <w:r w:rsidR="00D64398" w:rsidRPr="0053292B">
        <w:rPr>
          <w:rFonts w:asciiTheme="minorHAnsi" w:hAnsiTheme="minorHAnsi"/>
        </w:rPr>
        <w:t>ransferencias Corrientes</w:t>
      </w:r>
      <w:r w:rsidR="00617358" w:rsidRPr="0053292B">
        <w:rPr>
          <w:rFonts w:asciiTheme="minorHAnsi" w:hAnsiTheme="minorHAnsi"/>
        </w:rPr>
        <w:t xml:space="preserve"> y las Contribuciones </w:t>
      </w:r>
      <w:r w:rsidR="00FE1DCA" w:rsidRPr="0053292B">
        <w:rPr>
          <w:rFonts w:asciiTheme="minorHAnsi" w:hAnsiTheme="minorHAnsi"/>
        </w:rPr>
        <w:t>a la</w:t>
      </w:r>
      <w:r w:rsidR="00617358" w:rsidRPr="0053292B">
        <w:rPr>
          <w:rFonts w:asciiTheme="minorHAnsi" w:hAnsiTheme="minorHAnsi"/>
        </w:rPr>
        <w:t xml:space="preserve"> Seguridad Social</w:t>
      </w:r>
      <w:r w:rsidR="00D64398" w:rsidRPr="0053292B">
        <w:rPr>
          <w:rFonts w:asciiTheme="minorHAnsi" w:hAnsiTheme="minorHAnsi"/>
        </w:rPr>
        <w:t>.</w:t>
      </w:r>
      <w:r w:rsidR="000F07D5" w:rsidRPr="0053292B">
        <w:rPr>
          <w:rFonts w:asciiTheme="minorHAnsi" w:hAnsiTheme="minorHAnsi"/>
        </w:rPr>
        <w:t xml:space="preserve"> </w:t>
      </w:r>
      <w:r w:rsidR="00871FC5" w:rsidRPr="0053292B">
        <w:rPr>
          <w:rFonts w:asciiTheme="minorHAnsi" w:hAnsiTheme="minorHAnsi"/>
        </w:rPr>
        <w:t xml:space="preserve">Por su parte, </w:t>
      </w:r>
      <w:r w:rsidR="00091393" w:rsidRPr="0053292B">
        <w:rPr>
          <w:rFonts w:asciiTheme="minorHAnsi" w:hAnsiTheme="minorHAnsi"/>
        </w:rPr>
        <w:t xml:space="preserve">en </w:t>
      </w:r>
      <w:r w:rsidR="00871FC5" w:rsidRPr="0053292B">
        <w:rPr>
          <w:rFonts w:asciiTheme="minorHAnsi" w:hAnsiTheme="minorHAnsi"/>
        </w:rPr>
        <w:t xml:space="preserve">los ingresos de Capital </w:t>
      </w:r>
      <w:r w:rsidR="001C52FB" w:rsidRPr="0053292B">
        <w:rPr>
          <w:rFonts w:asciiTheme="minorHAnsi" w:hAnsiTheme="minorHAnsi"/>
        </w:rPr>
        <w:t xml:space="preserve">se </w:t>
      </w:r>
      <w:r w:rsidR="00770F24" w:rsidRPr="0053292B">
        <w:rPr>
          <w:rFonts w:asciiTheme="minorHAnsi" w:hAnsiTheme="minorHAnsi"/>
        </w:rPr>
        <w:t>hace referencia a</w:t>
      </w:r>
      <w:r w:rsidR="003A7AAF" w:rsidRPr="0053292B">
        <w:rPr>
          <w:rFonts w:asciiTheme="minorHAnsi" w:hAnsiTheme="minorHAnsi"/>
        </w:rPr>
        <w:t xml:space="preserve"> las </w:t>
      </w:r>
      <w:r w:rsidR="0053292B" w:rsidRPr="0053292B">
        <w:rPr>
          <w:rFonts w:asciiTheme="minorHAnsi" w:hAnsiTheme="minorHAnsi"/>
        </w:rPr>
        <w:t>T</w:t>
      </w:r>
      <w:r w:rsidR="003A7AAF" w:rsidRPr="0053292B">
        <w:rPr>
          <w:rFonts w:asciiTheme="minorHAnsi" w:hAnsiTheme="minorHAnsi"/>
        </w:rPr>
        <w:t>ransferencias de Capital, los Recursos Propios y la Disminución de la Inversión Financiera.</w:t>
      </w:r>
    </w:p>
    <w:p w:rsidR="00E15901" w:rsidRPr="0053292B" w:rsidRDefault="00E15901" w:rsidP="00B64D16">
      <w:pPr>
        <w:suppressAutoHyphens/>
        <w:ind w:right="142"/>
        <w:jc w:val="both"/>
        <w:rPr>
          <w:rFonts w:asciiTheme="minorHAnsi" w:hAnsiTheme="minorHAnsi"/>
        </w:rPr>
      </w:pPr>
    </w:p>
    <w:p w:rsidR="00696972" w:rsidRPr="0053292B" w:rsidRDefault="00D64398" w:rsidP="00B64D16">
      <w:pPr>
        <w:suppressAutoHyphens/>
        <w:ind w:right="142"/>
        <w:jc w:val="both"/>
        <w:rPr>
          <w:rFonts w:asciiTheme="minorHAnsi" w:hAnsiTheme="minorHAnsi"/>
        </w:rPr>
      </w:pPr>
      <w:r w:rsidRPr="0053292B">
        <w:rPr>
          <w:rFonts w:asciiTheme="minorHAnsi" w:hAnsiTheme="minorHAnsi"/>
        </w:rPr>
        <w:t xml:space="preserve">En </w:t>
      </w:r>
      <w:r w:rsidR="00617358" w:rsidRPr="0053292B">
        <w:rPr>
          <w:rFonts w:asciiTheme="minorHAnsi" w:hAnsiTheme="minorHAnsi"/>
        </w:rPr>
        <w:t>cuanto a</w:t>
      </w:r>
      <w:r w:rsidRPr="0053292B">
        <w:rPr>
          <w:rFonts w:asciiTheme="minorHAnsi" w:hAnsiTheme="minorHAnsi"/>
        </w:rPr>
        <w:t>l Gasto Público Provincial,</w:t>
      </w:r>
      <w:r w:rsidR="00CA728D" w:rsidRPr="0053292B">
        <w:rPr>
          <w:rFonts w:asciiTheme="minorHAnsi" w:hAnsiTheme="minorHAnsi"/>
        </w:rPr>
        <w:t xml:space="preserve"> se </w:t>
      </w:r>
      <w:r w:rsidR="00091393" w:rsidRPr="0053292B">
        <w:rPr>
          <w:rFonts w:asciiTheme="minorHAnsi" w:hAnsiTheme="minorHAnsi"/>
        </w:rPr>
        <w:t>consideran</w:t>
      </w:r>
      <w:r w:rsidR="00CA728D" w:rsidRPr="0053292B">
        <w:rPr>
          <w:rFonts w:asciiTheme="minorHAnsi" w:hAnsiTheme="minorHAnsi"/>
        </w:rPr>
        <w:t xml:space="preserve"> dos </w:t>
      </w:r>
      <w:r w:rsidR="00696671" w:rsidRPr="0053292B">
        <w:rPr>
          <w:rFonts w:asciiTheme="minorHAnsi" w:hAnsiTheme="minorHAnsi"/>
        </w:rPr>
        <w:t>criterios de</w:t>
      </w:r>
      <w:r w:rsidRPr="0053292B">
        <w:rPr>
          <w:rFonts w:asciiTheme="minorHAnsi" w:hAnsiTheme="minorHAnsi"/>
        </w:rPr>
        <w:t xml:space="preserve"> clasificaci</w:t>
      </w:r>
      <w:r w:rsidR="00CA728D" w:rsidRPr="0053292B">
        <w:rPr>
          <w:rFonts w:asciiTheme="minorHAnsi" w:hAnsiTheme="minorHAnsi"/>
        </w:rPr>
        <w:t>ó</w:t>
      </w:r>
      <w:r w:rsidRPr="0053292B">
        <w:rPr>
          <w:rFonts w:asciiTheme="minorHAnsi" w:hAnsiTheme="minorHAnsi"/>
        </w:rPr>
        <w:t>n presupuestaria</w:t>
      </w:r>
      <w:r w:rsidR="000545D3" w:rsidRPr="0053292B">
        <w:rPr>
          <w:rFonts w:asciiTheme="minorHAnsi" w:hAnsiTheme="minorHAnsi"/>
        </w:rPr>
        <w:t>.</w:t>
      </w:r>
      <w:r w:rsidRPr="0053292B">
        <w:rPr>
          <w:rFonts w:asciiTheme="minorHAnsi" w:hAnsiTheme="minorHAnsi"/>
        </w:rPr>
        <w:t xml:space="preserve"> </w:t>
      </w:r>
      <w:r w:rsidR="00CA728D" w:rsidRPr="0053292B">
        <w:rPr>
          <w:rFonts w:asciiTheme="minorHAnsi" w:hAnsiTheme="minorHAnsi"/>
        </w:rPr>
        <w:t xml:space="preserve">La clasificación </w:t>
      </w:r>
      <w:r w:rsidR="000545D3" w:rsidRPr="0053292B">
        <w:rPr>
          <w:rFonts w:asciiTheme="minorHAnsi" w:hAnsiTheme="minorHAnsi"/>
        </w:rPr>
        <w:t xml:space="preserve">Económica y por Objeto, que </w:t>
      </w:r>
      <w:r w:rsidR="00CA728D" w:rsidRPr="0053292B">
        <w:rPr>
          <w:rFonts w:asciiTheme="minorHAnsi" w:hAnsiTheme="minorHAnsi"/>
        </w:rPr>
        <w:t xml:space="preserve">permite apreciar </w:t>
      </w:r>
      <w:r w:rsidR="005814EC" w:rsidRPr="0053292B">
        <w:rPr>
          <w:rFonts w:asciiTheme="minorHAnsi" w:hAnsiTheme="minorHAnsi"/>
        </w:rPr>
        <w:t xml:space="preserve">la naturaleza económica </w:t>
      </w:r>
      <w:r w:rsidR="001139CA" w:rsidRPr="0053292B">
        <w:rPr>
          <w:rFonts w:asciiTheme="minorHAnsi" w:hAnsiTheme="minorHAnsi"/>
        </w:rPr>
        <w:t>de las transacciones</w:t>
      </w:r>
      <w:r w:rsidR="00696671" w:rsidRPr="0053292B">
        <w:rPr>
          <w:rFonts w:asciiTheme="minorHAnsi" w:hAnsiTheme="minorHAnsi"/>
        </w:rPr>
        <w:t>,</w:t>
      </w:r>
      <w:r w:rsidR="001139CA" w:rsidRPr="0053292B">
        <w:rPr>
          <w:rFonts w:asciiTheme="minorHAnsi" w:hAnsiTheme="minorHAnsi"/>
        </w:rPr>
        <w:t xml:space="preserve"> ordena</w:t>
      </w:r>
      <w:r w:rsidR="00696671" w:rsidRPr="0053292B">
        <w:rPr>
          <w:rFonts w:asciiTheme="minorHAnsi" w:hAnsiTheme="minorHAnsi"/>
        </w:rPr>
        <w:t>ndo</w:t>
      </w:r>
      <w:r w:rsidR="001139CA" w:rsidRPr="0053292B">
        <w:rPr>
          <w:rFonts w:asciiTheme="minorHAnsi" w:hAnsiTheme="minorHAnsi"/>
        </w:rPr>
        <w:t xml:space="preserve"> </w:t>
      </w:r>
      <w:r w:rsidR="005814EC" w:rsidRPr="0053292B">
        <w:rPr>
          <w:rFonts w:asciiTheme="minorHAnsi" w:hAnsiTheme="minorHAnsi"/>
        </w:rPr>
        <w:t>l</w:t>
      </w:r>
      <w:r w:rsidR="001139CA" w:rsidRPr="0053292B">
        <w:rPr>
          <w:rFonts w:asciiTheme="minorHAnsi" w:hAnsiTheme="minorHAnsi"/>
        </w:rPr>
        <w:t>os egresos</w:t>
      </w:r>
      <w:r w:rsidR="005814EC" w:rsidRPr="0053292B">
        <w:rPr>
          <w:rFonts w:asciiTheme="minorHAnsi" w:hAnsiTheme="minorHAnsi"/>
        </w:rPr>
        <w:t xml:space="preserve"> </w:t>
      </w:r>
      <w:r w:rsidR="001139CA" w:rsidRPr="0053292B">
        <w:rPr>
          <w:rFonts w:asciiTheme="minorHAnsi" w:hAnsiTheme="minorHAnsi"/>
        </w:rPr>
        <w:t xml:space="preserve">según sean bienes, servicios, transferencias o variaciones de activos y pasivos, </w:t>
      </w:r>
      <w:r w:rsidR="000545D3" w:rsidRPr="0053292B">
        <w:rPr>
          <w:rFonts w:asciiTheme="minorHAnsi" w:hAnsiTheme="minorHAnsi"/>
        </w:rPr>
        <w:t>y la clasificación p</w:t>
      </w:r>
      <w:r w:rsidRPr="0053292B">
        <w:rPr>
          <w:rFonts w:asciiTheme="minorHAnsi" w:hAnsiTheme="minorHAnsi"/>
        </w:rPr>
        <w:t xml:space="preserve">or Finalidad y Función, </w:t>
      </w:r>
      <w:r w:rsidR="000545D3" w:rsidRPr="0053292B">
        <w:rPr>
          <w:rFonts w:asciiTheme="minorHAnsi" w:hAnsiTheme="minorHAnsi"/>
        </w:rPr>
        <w:t xml:space="preserve">que </w:t>
      </w:r>
      <w:r w:rsidRPr="0053292B">
        <w:rPr>
          <w:rFonts w:asciiTheme="minorHAnsi" w:hAnsiTheme="minorHAnsi"/>
        </w:rPr>
        <w:t>muestra</w:t>
      </w:r>
      <w:r w:rsidR="001C41D3" w:rsidRPr="0053292B">
        <w:rPr>
          <w:rFonts w:asciiTheme="minorHAnsi" w:hAnsiTheme="minorHAnsi"/>
        </w:rPr>
        <w:t xml:space="preserve"> </w:t>
      </w:r>
      <w:r w:rsidRPr="0053292B">
        <w:rPr>
          <w:rFonts w:asciiTheme="minorHAnsi" w:hAnsiTheme="minorHAnsi"/>
        </w:rPr>
        <w:t xml:space="preserve">la naturaleza de los servicios que </w:t>
      </w:r>
      <w:r w:rsidR="00AF14FC">
        <w:rPr>
          <w:rFonts w:asciiTheme="minorHAnsi" w:hAnsiTheme="minorHAnsi"/>
        </w:rPr>
        <w:t>prest</w:t>
      </w:r>
      <w:r w:rsidRPr="0053292B">
        <w:rPr>
          <w:rFonts w:asciiTheme="minorHAnsi" w:hAnsiTheme="minorHAnsi"/>
        </w:rPr>
        <w:t>a</w:t>
      </w:r>
      <w:r w:rsidR="00AF14FC">
        <w:rPr>
          <w:rFonts w:asciiTheme="minorHAnsi" w:hAnsiTheme="minorHAnsi"/>
        </w:rPr>
        <w:t>n</w:t>
      </w:r>
      <w:r w:rsidRPr="0053292B">
        <w:rPr>
          <w:rFonts w:asciiTheme="minorHAnsi" w:hAnsiTheme="minorHAnsi"/>
        </w:rPr>
        <w:t xml:space="preserve"> </w:t>
      </w:r>
      <w:r w:rsidR="00696671" w:rsidRPr="0053292B">
        <w:rPr>
          <w:rFonts w:asciiTheme="minorHAnsi" w:hAnsiTheme="minorHAnsi"/>
        </w:rPr>
        <w:t xml:space="preserve">a la comunidad el conjunto de </w:t>
      </w:r>
      <w:r w:rsidRPr="0053292B">
        <w:rPr>
          <w:rFonts w:asciiTheme="minorHAnsi" w:hAnsiTheme="minorHAnsi"/>
        </w:rPr>
        <w:t>las jurisdicciones</w:t>
      </w:r>
      <w:r w:rsidR="00696671" w:rsidRPr="0053292B">
        <w:rPr>
          <w:rFonts w:asciiTheme="minorHAnsi" w:hAnsiTheme="minorHAnsi"/>
        </w:rPr>
        <w:t xml:space="preserve"> provinciales y la Ciudad Autónoma de Buenos Aires</w:t>
      </w:r>
      <w:r w:rsidRPr="0053292B">
        <w:rPr>
          <w:rFonts w:asciiTheme="minorHAnsi" w:hAnsiTheme="minorHAnsi"/>
        </w:rPr>
        <w:t>.</w:t>
      </w:r>
    </w:p>
    <w:p w:rsidR="00CA728D" w:rsidRPr="0053292B" w:rsidRDefault="00CA728D" w:rsidP="00B64D16">
      <w:pPr>
        <w:suppressAutoHyphens/>
        <w:ind w:right="142"/>
        <w:jc w:val="both"/>
        <w:rPr>
          <w:rFonts w:asciiTheme="minorHAnsi" w:hAnsiTheme="minorHAnsi"/>
        </w:rPr>
      </w:pPr>
    </w:p>
    <w:p w:rsidR="00D64398" w:rsidRPr="0053292B" w:rsidRDefault="00AF3F66" w:rsidP="00B64D16">
      <w:pPr>
        <w:suppressAutoHyphens/>
        <w:ind w:right="142"/>
        <w:jc w:val="both"/>
        <w:rPr>
          <w:rFonts w:asciiTheme="minorHAnsi" w:hAnsiTheme="minorHAnsi"/>
        </w:rPr>
      </w:pPr>
      <w:r w:rsidRPr="0053292B">
        <w:rPr>
          <w:rFonts w:asciiTheme="minorHAnsi" w:hAnsiTheme="minorHAnsi"/>
        </w:rPr>
        <w:t xml:space="preserve">Se adjunta como anexo al informe el esquema Ahorro-Inversión-Financiamiento correspondiente al Consolidado de 24 Jurisdicciones del primer trimestre </w:t>
      </w:r>
      <w:r w:rsidR="00436337" w:rsidRPr="0053292B">
        <w:rPr>
          <w:rFonts w:asciiTheme="minorHAnsi" w:hAnsiTheme="minorHAnsi"/>
        </w:rPr>
        <w:t xml:space="preserve">de </w:t>
      </w:r>
      <w:r w:rsidRPr="0053292B">
        <w:rPr>
          <w:rFonts w:asciiTheme="minorHAnsi" w:hAnsiTheme="minorHAnsi"/>
        </w:rPr>
        <w:t>20</w:t>
      </w:r>
      <w:r w:rsidR="003C1E4C" w:rsidRPr="0053292B">
        <w:rPr>
          <w:rFonts w:asciiTheme="minorHAnsi" w:hAnsiTheme="minorHAnsi"/>
        </w:rPr>
        <w:t>2</w:t>
      </w:r>
      <w:r w:rsidR="00745967">
        <w:rPr>
          <w:rFonts w:asciiTheme="minorHAnsi" w:hAnsiTheme="minorHAnsi"/>
        </w:rPr>
        <w:t>2</w:t>
      </w:r>
      <w:r w:rsidRPr="0053292B">
        <w:rPr>
          <w:rFonts w:asciiTheme="minorHAnsi" w:hAnsiTheme="minorHAnsi"/>
        </w:rPr>
        <w:t xml:space="preserve">. </w:t>
      </w:r>
      <w:r w:rsidR="00D64398" w:rsidRPr="0053292B">
        <w:rPr>
          <w:rFonts w:asciiTheme="minorHAnsi" w:hAnsiTheme="minorHAnsi"/>
        </w:rPr>
        <w:t>Una información más detallada de las ejecuciones presupuestarias, puede ser consultada en la página Web:</w:t>
      </w:r>
    </w:p>
    <w:p w:rsidR="00D64398" w:rsidRPr="00D64398" w:rsidRDefault="000B14A7" w:rsidP="00B64D16">
      <w:pPr>
        <w:suppressAutoHyphens/>
        <w:ind w:right="142"/>
        <w:jc w:val="both"/>
        <w:rPr>
          <w:rFonts w:asciiTheme="minorHAnsi" w:hAnsiTheme="minorHAnsi"/>
        </w:rPr>
        <w:sectPr w:rsidR="00D64398" w:rsidRPr="00D64398" w:rsidSect="00696972">
          <w:pgSz w:w="11907" w:h="16839" w:code="9"/>
          <w:pgMar w:top="1418" w:right="1559" w:bottom="1418" w:left="1701" w:header="567" w:footer="567" w:gutter="0"/>
          <w:pgNumType w:start="2"/>
          <w:cols w:space="708"/>
          <w:docGrid w:linePitch="360"/>
        </w:sectPr>
      </w:pPr>
      <w:r w:rsidRPr="000B14A7">
        <w:rPr>
          <w:rFonts w:asciiTheme="minorHAnsi" w:hAnsiTheme="minorHAnsi"/>
        </w:rPr>
        <w:t>https://www.economia.gob.ar/dnap/ejecuciones.html</w:t>
      </w:r>
    </w:p>
    <w:p w:rsidR="007F4131" w:rsidRPr="0025674A" w:rsidRDefault="00B61E6C" w:rsidP="007F4131">
      <w:pPr>
        <w:pStyle w:val="Ttulo1"/>
        <w:numPr>
          <w:ilvl w:val="0"/>
          <w:numId w:val="0"/>
        </w:numPr>
      </w:pPr>
      <w:bookmarkStart w:id="5" w:name="_Toc502068509"/>
      <w:bookmarkStart w:id="6" w:name="_Toc532574487"/>
      <w:bookmarkStart w:id="7" w:name="_Toc3367370"/>
      <w:bookmarkStart w:id="8" w:name="_Toc456716571"/>
      <w:bookmarkStart w:id="9" w:name="_Toc500246796"/>
      <w:bookmarkStart w:id="10" w:name="_Toc532574486"/>
      <w:r>
        <w:lastRenderedPageBreak/>
        <w:t>2</w:t>
      </w:r>
      <w:r w:rsidR="007F4131" w:rsidRPr="0025674A">
        <w:t>. RESULTADOS FISCALES</w:t>
      </w:r>
      <w:bookmarkEnd w:id="5"/>
      <w:bookmarkEnd w:id="6"/>
      <w:bookmarkEnd w:id="7"/>
    </w:p>
    <w:bookmarkEnd w:id="4"/>
    <w:bookmarkEnd w:id="8"/>
    <w:bookmarkEnd w:id="9"/>
    <w:bookmarkEnd w:id="10"/>
    <w:p w:rsidR="00494A22" w:rsidRPr="00225BFD" w:rsidRDefault="00494A22" w:rsidP="00B137E3">
      <w:pPr>
        <w:pBdr>
          <w:top w:val="single" w:sz="4" w:space="1" w:color="auto"/>
        </w:pBdr>
        <w:suppressAutoHyphens/>
        <w:jc w:val="both"/>
        <w:rPr>
          <w:rFonts w:ascii="Calibri" w:hAnsi="Calibri"/>
          <w:color w:val="595959" w:themeColor="text1" w:themeTint="A6"/>
        </w:rPr>
      </w:pPr>
    </w:p>
    <w:p w:rsidR="00FC3E53" w:rsidRPr="00EC114E" w:rsidRDefault="0053292B" w:rsidP="00BE0CEE">
      <w:pPr>
        <w:suppressAutoHyphens/>
        <w:jc w:val="both"/>
        <w:rPr>
          <w:rFonts w:asciiTheme="minorHAnsi" w:hAnsiTheme="minorHAnsi"/>
        </w:rPr>
      </w:pPr>
      <w:r w:rsidRPr="00EC114E">
        <w:rPr>
          <w:rFonts w:asciiTheme="minorHAnsi" w:hAnsiTheme="minorHAnsi"/>
        </w:rPr>
        <w:t>En</w:t>
      </w:r>
      <w:r w:rsidR="00257BB9" w:rsidRPr="00EC114E">
        <w:rPr>
          <w:rFonts w:asciiTheme="minorHAnsi" w:hAnsiTheme="minorHAnsi"/>
        </w:rPr>
        <w:t xml:space="preserve"> la</w:t>
      </w:r>
      <w:r w:rsidR="00476154" w:rsidRPr="00EC114E">
        <w:rPr>
          <w:rFonts w:asciiTheme="minorHAnsi" w:hAnsiTheme="minorHAnsi"/>
        </w:rPr>
        <w:t xml:space="preserve"> compara</w:t>
      </w:r>
      <w:r w:rsidR="00257BB9" w:rsidRPr="00EC114E">
        <w:rPr>
          <w:rFonts w:asciiTheme="minorHAnsi" w:hAnsiTheme="minorHAnsi"/>
        </w:rPr>
        <w:t>ción</w:t>
      </w:r>
      <w:r w:rsidR="00476154" w:rsidRPr="00EC114E">
        <w:rPr>
          <w:rFonts w:asciiTheme="minorHAnsi" w:hAnsiTheme="minorHAnsi"/>
        </w:rPr>
        <w:t xml:space="preserve"> </w:t>
      </w:r>
      <w:r w:rsidR="00257BB9" w:rsidRPr="00EC114E">
        <w:rPr>
          <w:rFonts w:asciiTheme="minorHAnsi" w:hAnsiTheme="minorHAnsi"/>
        </w:rPr>
        <w:t>d</w:t>
      </w:r>
      <w:r w:rsidR="00476154" w:rsidRPr="00EC114E">
        <w:rPr>
          <w:rFonts w:asciiTheme="minorHAnsi" w:hAnsiTheme="minorHAnsi"/>
        </w:rPr>
        <w:t>e</w:t>
      </w:r>
      <w:r w:rsidR="00FC3E53" w:rsidRPr="00EC114E">
        <w:rPr>
          <w:rFonts w:asciiTheme="minorHAnsi" w:hAnsiTheme="minorHAnsi"/>
        </w:rPr>
        <w:t xml:space="preserve">l </w:t>
      </w:r>
      <w:r w:rsidR="004B3D68" w:rsidRPr="00EC114E">
        <w:rPr>
          <w:rFonts w:asciiTheme="minorHAnsi" w:hAnsiTheme="minorHAnsi"/>
        </w:rPr>
        <w:t>primer</w:t>
      </w:r>
      <w:r w:rsidR="00FC3E53" w:rsidRPr="00EC114E">
        <w:rPr>
          <w:rFonts w:asciiTheme="minorHAnsi" w:hAnsiTheme="minorHAnsi"/>
        </w:rPr>
        <w:t xml:space="preserve"> trimestre de 20</w:t>
      </w:r>
      <w:r w:rsidR="00257BB9" w:rsidRPr="00EC114E">
        <w:rPr>
          <w:rFonts w:asciiTheme="minorHAnsi" w:hAnsiTheme="minorHAnsi"/>
        </w:rPr>
        <w:t>2</w:t>
      </w:r>
      <w:r w:rsidR="000671EE" w:rsidRPr="00EC114E">
        <w:rPr>
          <w:rFonts w:asciiTheme="minorHAnsi" w:hAnsiTheme="minorHAnsi"/>
        </w:rPr>
        <w:t>2</w:t>
      </w:r>
      <w:r w:rsidR="00FC3E53" w:rsidRPr="00EC114E">
        <w:rPr>
          <w:rFonts w:asciiTheme="minorHAnsi" w:hAnsiTheme="minorHAnsi"/>
        </w:rPr>
        <w:t xml:space="preserve"> </w:t>
      </w:r>
      <w:r w:rsidR="00476154" w:rsidRPr="00EC114E">
        <w:rPr>
          <w:rFonts w:asciiTheme="minorHAnsi" w:hAnsiTheme="minorHAnsi"/>
        </w:rPr>
        <w:t>con igual período del año anterior</w:t>
      </w:r>
      <w:r w:rsidR="00926CC7">
        <w:rPr>
          <w:rFonts w:asciiTheme="minorHAnsi" w:hAnsiTheme="minorHAnsi"/>
        </w:rPr>
        <w:t>,</w:t>
      </w:r>
      <w:r w:rsidR="00476154" w:rsidRPr="00EC114E">
        <w:rPr>
          <w:rFonts w:asciiTheme="minorHAnsi" w:hAnsiTheme="minorHAnsi"/>
        </w:rPr>
        <w:t xml:space="preserve"> </w:t>
      </w:r>
      <w:r w:rsidRPr="00EC114E">
        <w:rPr>
          <w:rFonts w:asciiTheme="minorHAnsi" w:hAnsiTheme="minorHAnsi"/>
        </w:rPr>
        <w:t xml:space="preserve">se </w:t>
      </w:r>
      <w:r w:rsidR="00EC114E" w:rsidRPr="00EC114E">
        <w:rPr>
          <w:rFonts w:asciiTheme="minorHAnsi" w:hAnsiTheme="minorHAnsi"/>
        </w:rPr>
        <w:t xml:space="preserve">sostiene la tendencia a la mejoría nominal en </w:t>
      </w:r>
      <w:r w:rsidR="00257BB9" w:rsidRPr="00EC114E">
        <w:rPr>
          <w:rFonts w:asciiTheme="minorHAnsi" w:hAnsiTheme="minorHAnsi"/>
        </w:rPr>
        <w:t xml:space="preserve">el </w:t>
      </w:r>
      <w:r w:rsidR="00C77C0C" w:rsidRPr="00EC114E">
        <w:rPr>
          <w:rFonts w:asciiTheme="minorHAnsi" w:hAnsiTheme="minorHAnsi"/>
        </w:rPr>
        <w:t>R</w:t>
      </w:r>
      <w:r w:rsidR="00FC3E53" w:rsidRPr="00EC114E">
        <w:rPr>
          <w:rFonts w:asciiTheme="minorHAnsi" w:hAnsiTheme="minorHAnsi"/>
        </w:rPr>
        <w:t xml:space="preserve">esultado </w:t>
      </w:r>
      <w:r w:rsidR="00C77C0C" w:rsidRPr="00EC114E">
        <w:rPr>
          <w:rFonts w:asciiTheme="minorHAnsi" w:hAnsiTheme="minorHAnsi"/>
        </w:rPr>
        <w:t>E</w:t>
      </w:r>
      <w:r w:rsidR="00FC3E53" w:rsidRPr="00EC114E">
        <w:rPr>
          <w:rFonts w:asciiTheme="minorHAnsi" w:hAnsiTheme="minorHAnsi"/>
        </w:rPr>
        <w:t>conómico</w:t>
      </w:r>
      <w:r w:rsidR="00257BB9" w:rsidRPr="00EC114E">
        <w:rPr>
          <w:rFonts w:asciiTheme="minorHAnsi" w:hAnsiTheme="minorHAnsi"/>
        </w:rPr>
        <w:t xml:space="preserve"> del total de las jurisdicciones</w:t>
      </w:r>
      <w:r w:rsidRPr="00EC114E">
        <w:rPr>
          <w:rFonts w:asciiTheme="minorHAnsi" w:hAnsiTheme="minorHAnsi"/>
        </w:rPr>
        <w:t xml:space="preserve">, </w:t>
      </w:r>
      <w:r w:rsidR="00EC114E" w:rsidRPr="00EC114E">
        <w:rPr>
          <w:rFonts w:asciiTheme="minorHAnsi" w:hAnsiTheme="minorHAnsi"/>
        </w:rPr>
        <w:t xml:space="preserve">con un incremento de </w:t>
      </w:r>
      <w:r w:rsidR="00926CC7">
        <w:rPr>
          <w:rFonts w:asciiTheme="minorHAnsi" w:hAnsiTheme="minorHAnsi"/>
        </w:rPr>
        <w:t>44,7</w:t>
      </w:r>
      <w:r w:rsidR="005D2F14" w:rsidRPr="00EC114E">
        <w:rPr>
          <w:rFonts w:asciiTheme="minorHAnsi" w:hAnsiTheme="minorHAnsi"/>
        </w:rPr>
        <w:t xml:space="preserve"> </w:t>
      </w:r>
      <w:r w:rsidR="004B3D68" w:rsidRPr="00EC114E">
        <w:rPr>
          <w:rFonts w:asciiTheme="minorHAnsi" w:hAnsiTheme="minorHAnsi"/>
        </w:rPr>
        <w:t xml:space="preserve">%, </w:t>
      </w:r>
      <w:r w:rsidR="00EC114E" w:rsidRPr="00EC114E">
        <w:rPr>
          <w:rFonts w:asciiTheme="minorHAnsi" w:hAnsiTheme="minorHAnsi"/>
        </w:rPr>
        <w:t>alcanzando un saldo de</w:t>
      </w:r>
      <w:r w:rsidR="005D2F14" w:rsidRPr="00EC114E">
        <w:rPr>
          <w:rFonts w:asciiTheme="minorHAnsi" w:hAnsiTheme="minorHAnsi"/>
        </w:rPr>
        <w:t xml:space="preserve"> $</w:t>
      </w:r>
      <w:r w:rsidR="00257BB9" w:rsidRPr="00EC114E">
        <w:rPr>
          <w:rFonts w:asciiTheme="minorHAnsi" w:hAnsiTheme="minorHAnsi"/>
        </w:rPr>
        <w:t xml:space="preserve"> </w:t>
      </w:r>
      <w:r w:rsidR="00926CC7">
        <w:rPr>
          <w:rFonts w:asciiTheme="minorHAnsi" w:hAnsiTheme="minorHAnsi"/>
        </w:rPr>
        <w:t>395.411</w:t>
      </w:r>
      <w:r w:rsidR="00FC3E53" w:rsidRPr="00EC114E">
        <w:rPr>
          <w:rFonts w:asciiTheme="minorHAnsi" w:hAnsiTheme="minorHAnsi"/>
        </w:rPr>
        <w:t xml:space="preserve"> millones (Cuadro </w:t>
      </w:r>
      <w:r w:rsidR="00DA7565" w:rsidRPr="00EC114E">
        <w:rPr>
          <w:rFonts w:asciiTheme="minorHAnsi" w:hAnsiTheme="minorHAnsi"/>
        </w:rPr>
        <w:t>1</w:t>
      </w:r>
      <w:r w:rsidR="00FC3E53" w:rsidRPr="00EC114E">
        <w:rPr>
          <w:rFonts w:asciiTheme="minorHAnsi" w:hAnsiTheme="minorHAnsi"/>
        </w:rPr>
        <w:t>)</w:t>
      </w:r>
      <w:r w:rsidR="00FC156B" w:rsidRPr="00EC114E">
        <w:rPr>
          <w:rFonts w:asciiTheme="minorHAnsi" w:hAnsiTheme="minorHAnsi"/>
        </w:rPr>
        <w:t>.</w:t>
      </w:r>
    </w:p>
    <w:p w:rsidR="00472960" w:rsidRPr="00EC114E" w:rsidRDefault="00472960" w:rsidP="00472960">
      <w:pPr>
        <w:suppressAutoHyphens/>
        <w:jc w:val="both"/>
        <w:rPr>
          <w:rFonts w:asciiTheme="minorHAnsi" w:hAnsiTheme="minorHAnsi"/>
        </w:rPr>
      </w:pPr>
    </w:p>
    <w:p w:rsidR="00632AB1" w:rsidRPr="00EC114E" w:rsidRDefault="004322AE" w:rsidP="003C1C82">
      <w:pPr>
        <w:shd w:val="clear" w:color="auto" w:fill="FFFFFF" w:themeFill="background1"/>
        <w:suppressAutoHyphens/>
        <w:jc w:val="both"/>
        <w:rPr>
          <w:rFonts w:asciiTheme="minorHAnsi" w:hAnsiTheme="minorHAnsi"/>
        </w:rPr>
      </w:pPr>
      <w:r w:rsidRPr="00EC114E">
        <w:rPr>
          <w:rFonts w:asciiTheme="minorHAnsi" w:hAnsiTheme="minorHAnsi"/>
        </w:rPr>
        <w:t>Análogamente</w:t>
      </w:r>
      <w:r w:rsidR="00632AB1" w:rsidRPr="00EC114E">
        <w:rPr>
          <w:rFonts w:asciiTheme="minorHAnsi" w:hAnsiTheme="minorHAnsi"/>
        </w:rPr>
        <w:t xml:space="preserve">, el Resultado Primario del primer trimestre </w:t>
      </w:r>
      <w:r w:rsidR="00436337" w:rsidRPr="00EC114E">
        <w:rPr>
          <w:rFonts w:asciiTheme="minorHAnsi" w:hAnsiTheme="minorHAnsi"/>
        </w:rPr>
        <w:t xml:space="preserve">de </w:t>
      </w:r>
      <w:r w:rsidR="00632AB1" w:rsidRPr="00EC114E">
        <w:rPr>
          <w:rFonts w:asciiTheme="minorHAnsi" w:hAnsiTheme="minorHAnsi"/>
        </w:rPr>
        <w:t>20</w:t>
      </w:r>
      <w:r w:rsidR="00257BB9" w:rsidRPr="00EC114E">
        <w:rPr>
          <w:rFonts w:asciiTheme="minorHAnsi" w:hAnsiTheme="minorHAnsi"/>
        </w:rPr>
        <w:t>2</w:t>
      </w:r>
      <w:r w:rsidR="00EC114E" w:rsidRPr="00EC114E">
        <w:rPr>
          <w:rFonts w:asciiTheme="minorHAnsi" w:hAnsiTheme="minorHAnsi"/>
        </w:rPr>
        <w:t>2</w:t>
      </w:r>
      <w:r w:rsidR="00632AB1" w:rsidRPr="00EC114E">
        <w:rPr>
          <w:rFonts w:asciiTheme="minorHAnsi" w:hAnsiTheme="minorHAnsi"/>
        </w:rPr>
        <w:t xml:space="preserve"> registra un superávit de $</w:t>
      </w:r>
      <w:r w:rsidR="00257BB9" w:rsidRPr="00EC114E">
        <w:rPr>
          <w:rFonts w:asciiTheme="minorHAnsi" w:hAnsiTheme="minorHAnsi"/>
        </w:rPr>
        <w:t xml:space="preserve"> </w:t>
      </w:r>
      <w:r w:rsidR="00926CC7">
        <w:rPr>
          <w:rFonts w:asciiTheme="minorHAnsi" w:hAnsiTheme="minorHAnsi"/>
        </w:rPr>
        <w:t>345.505</w:t>
      </w:r>
      <w:r w:rsidR="00632AB1" w:rsidRPr="00EC114E">
        <w:rPr>
          <w:rFonts w:asciiTheme="minorHAnsi" w:hAnsiTheme="minorHAnsi"/>
        </w:rPr>
        <w:t xml:space="preserve"> millones</w:t>
      </w:r>
      <w:r w:rsidR="003C1C82" w:rsidRPr="00EC114E">
        <w:rPr>
          <w:rFonts w:asciiTheme="minorHAnsi" w:hAnsiTheme="minorHAnsi"/>
        </w:rPr>
        <w:t>,</w:t>
      </w:r>
      <w:r w:rsidR="00FC156B" w:rsidRPr="00EC114E">
        <w:rPr>
          <w:rFonts w:asciiTheme="minorHAnsi" w:hAnsiTheme="minorHAnsi"/>
        </w:rPr>
        <w:t xml:space="preserve"> </w:t>
      </w:r>
      <w:r w:rsidR="00257BB9" w:rsidRPr="00EC114E">
        <w:rPr>
          <w:rFonts w:asciiTheme="minorHAnsi" w:hAnsiTheme="minorHAnsi"/>
        </w:rPr>
        <w:t>lo que en</w:t>
      </w:r>
      <w:r w:rsidR="00632AB1" w:rsidRPr="00EC114E">
        <w:rPr>
          <w:rFonts w:asciiTheme="minorHAnsi" w:hAnsiTheme="minorHAnsi"/>
        </w:rPr>
        <w:t xml:space="preserve"> términos comparativos </w:t>
      </w:r>
      <w:r w:rsidR="00257BB9" w:rsidRPr="00EC114E">
        <w:rPr>
          <w:rFonts w:asciiTheme="minorHAnsi" w:hAnsiTheme="minorHAnsi"/>
        </w:rPr>
        <w:t>respecto de</w:t>
      </w:r>
      <w:r w:rsidR="00632AB1" w:rsidRPr="00EC114E">
        <w:rPr>
          <w:rFonts w:asciiTheme="minorHAnsi" w:hAnsiTheme="minorHAnsi"/>
        </w:rPr>
        <w:t xml:space="preserve"> igual período de 20</w:t>
      </w:r>
      <w:r w:rsidR="00872E73" w:rsidRPr="00EC114E">
        <w:rPr>
          <w:rFonts w:asciiTheme="minorHAnsi" w:hAnsiTheme="minorHAnsi"/>
        </w:rPr>
        <w:t>2</w:t>
      </w:r>
      <w:r w:rsidR="00EC114E" w:rsidRPr="00EC114E">
        <w:rPr>
          <w:rFonts w:asciiTheme="minorHAnsi" w:hAnsiTheme="minorHAnsi"/>
        </w:rPr>
        <w:t>1</w:t>
      </w:r>
      <w:r w:rsidR="00632AB1" w:rsidRPr="00EC114E">
        <w:rPr>
          <w:rFonts w:asciiTheme="minorHAnsi" w:hAnsiTheme="minorHAnsi"/>
        </w:rPr>
        <w:t xml:space="preserve"> </w:t>
      </w:r>
      <w:r w:rsidR="00257BB9" w:rsidRPr="00EC114E">
        <w:rPr>
          <w:rFonts w:asciiTheme="minorHAnsi" w:hAnsiTheme="minorHAnsi"/>
        </w:rPr>
        <w:t>re</w:t>
      </w:r>
      <w:r w:rsidR="00632AB1" w:rsidRPr="00EC114E">
        <w:rPr>
          <w:rFonts w:asciiTheme="minorHAnsi" w:hAnsiTheme="minorHAnsi"/>
        </w:rPr>
        <w:t xml:space="preserve">presenta un </w:t>
      </w:r>
      <w:r w:rsidR="003C1C82" w:rsidRPr="00EC114E">
        <w:rPr>
          <w:rFonts w:asciiTheme="minorHAnsi" w:hAnsiTheme="minorHAnsi"/>
        </w:rPr>
        <w:t>incremento</w:t>
      </w:r>
      <w:r w:rsidR="00632AB1" w:rsidRPr="00EC114E">
        <w:rPr>
          <w:rFonts w:asciiTheme="minorHAnsi" w:hAnsiTheme="minorHAnsi"/>
        </w:rPr>
        <w:t xml:space="preserve"> de</w:t>
      </w:r>
      <w:r w:rsidRPr="00EC114E">
        <w:rPr>
          <w:rFonts w:asciiTheme="minorHAnsi" w:hAnsiTheme="minorHAnsi"/>
        </w:rPr>
        <w:t xml:space="preserve"> </w:t>
      </w:r>
      <w:r w:rsidR="00926CC7">
        <w:rPr>
          <w:rFonts w:asciiTheme="minorHAnsi" w:hAnsiTheme="minorHAnsi"/>
        </w:rPr>
        <w:t>44,8</w:t>
      </w:r>
      <w:r w:rsidR="00480BFC" w:rsidRPr="00EC114E">
        <w:rPr>
          <w:rFonts w:asciiTheme="minorHAnsi" w:hAnsiTheme="minorHAnsi"/>
        </w:rPr>
        <w:t xml:space="preserve"> </w:t>
      </w:r>
      <w:r w:rsidR="00632AB1" w:rsidRPr="00EC114E">
        <w:rPr>
          <w:rFonts w:asciiTheme="minorHAnsi" w:hAnsiTheme="minorHAnsi"/>
        </w:rPr>
        <w:t>%.</w:t>
      </w:r>
    </w:p>
    <w:p w:rsidR="006204AE" w:rsidRPr="00EC114E" w:rsidRDefault="006204AE" w:rsidP="00BE0CEE">
      <w:pPr>
        <w:suppressAutoHyphens/>
        <w:jc w:val="both"/>
        <w:rPr>
          <w:rFonts w:asciiTheme="minorHAnsi" w:hAnsiTheme="minorHAnsi"/>
        </w:rPr>
      </w:pPr>
    </w:p>
    <w:p w:rsidR="00451C93" w:rsidRPr="003C1C82" w:rsidRDefault="00257BB9" w:rsidP="00451C93">
      <w:pPr>
        <w:suppressAutoHyphens/>
        <w:jc w:val="both"/>
        <w:rPr>
          <w:rFonts w:asciiTheme="minorHAnsi" w:hAnsiTheme="minorHAnsi"/>
        </w:rPr>
      </w:pPr>
      <w:r w:rsidRPr="00EC114E">
        <w:rPr>
          <w:rFonts w:asciiTheme="minorHAnsi" w:hAnsiTheme="minorHAnsi"/>
        </w:rPr>
        <w:t>Est</w:t>
      </w:r>
      <w:r w:rsidR="00EC114E" w:rsidRPr="00EC114E">
        <w:rPr>
          <w:rFonts w:asciiTheme="minorHAnsi" w:hAnsiTheme="minorHAnsi"/>
        </w:rPr>
        <w:t>e incremento</w:t>
      </w:r>
      <w:r w:rsidRPr="00EC114E">
        <w:rPr>
          <w:rFonts w:asciiTheme="minorHAnsi" w:hAnsiTheme="minorHAnsi"/>
        </w:rPr>
        <w:t xml:space="preserve"> </w:t>
      </w:r>
      <w:r w:rsidR="00872E73" w:rsidRPr="00EC114E">
        <w:rPr>
          <w:rFonts w:asciiTheme="minorHAnsi" w:hAnsiTheme="minorHAnsi"/>
        </w:rPr>
        <w:t xml:space="preserve">se produce </w:t>
      </w:r>
      <w:r w:rsidR="00926CC7">
        <w:rPr>
          <w:rFonts w:asciiTheme="minorHAnsi" w:hAnsiTheme="minorHAnsi"/>
        </w:rPr>
        <w:t>a pesar de un</w:t>
      </w:r>
      <w:r w:rsidR="00EC114E" w:rsidRPr="00EC114E">
        <w:rPr>
          <w:rFonts w:asciiTheme="minorHAnsi" w:hAnsiTheme="minorHAnsi"/>
        </w:rPr>
        <w:t xml:space="preserve"> </w:t>
      </w:r>
      <w:r w:rsidR="00451C93" w:rsidRPr="00EC114E">
        <w:rPr>
          <w:rFonts w:asciiTheme="minorHAnsi" w:hAnsiTheme="minorHAnsi"/>
        </w:rPr>
        <w:t xml:space="preserve">aumento </w:t>
      </w:r>
      <w:r w:rsidRPr="00EC114E">
        <w:rPr>
          <w:rFonts w:asciiTheme="minorHAnsi" w:hAnsiTheme="minorHAnsi"/>
        </w:rPr>
        <w:t xml:space="preserve">nominal </w:t>
      </w:r>
      <w:r w:rsidR="00451C93" w:rsidRPr="00EC114E">
        <w:rPr>
          <w:rFonts w:asciiTheme="minorHAnsi" w:hAnsiTheme="minorHAnsi"/>
        </w:rPr>
        <w:t>de los Ingresos Totales (</w:t>
      </w:r>
      <w:r w:rsidR="00EC114E" w:rsidRPr="00EC114E">
        <w:rPr>
          <w:rFonts w:asciiTheme="minorHAnsi" w:hAnsiTheme="minorHAnsi"/>
        </w:rPr>
        <w:t>61,5</w:t>
      </w:r>
      <w:r w:rsidR="00451C93" w:rsidRPr="00EC114E">
        <w:rPr>
          <w:rFonts w:asciiTheme="minorHAnsi" w:hAnsiTheme="minorHAnsi"/>
        </w:rPr>
        <w:t xml:space="preserve"> %) </w:t>
      </w:r>
      <w:r w:rsidR="00EC114E" w:rsidRPr="00EC114E">
        <w:rPr>
          <w:rFonts w:asciiTheme="minorHAnsi" w:hAnsiTheme="minorHAnsi"/>
        </w:rPr>
        <w:t>que resulta inferior</w:t>
      </w:r>
      <w:r w:rsidRPr="00EC114E">
        <w:rPr>
          <w:rFonts w:asciiTheme="minorHAnsi" w:hAnsiTheme="minorHAnsi"/>
        </w:rPr>
        <w:t xml:space="preserve"> a</w:t>
      </w:r>
      <w:r w:rsidR="00451C93" w:rsidRPr="00EC114E">
        <w:rPr>
          <w:rFonts w:asciiTheme="minorHAnsi" w:hAnsiTheme="minorHAnsi"/>
        </w:rPr>
        <w:t xml:space="preserve">l de los Gastos </w:t>
      </w:r>
      <w:r w:rsidRPr="00EC114E">
        <w:rPr>
          <w:rFonts w:asciiTheme="minorHAnsi" w:hAnsiTheme="minorHAnsi"/>
        </w:rPr>
        <w:t>Totales</w:t>
      </w:r>
      <w:r w:rsidR="00451C93" w:rsidRPr="00EC114E">
        <w:rPr>
          <w:rFonts w:asciiTheme="minorHAnsi" w:hAnsiTheme="minorHAnsi"/>
        </w:rPr>
        <w:t xml:space="preserve"> (</w:t>
      </w:r>
      <w:r w:rsidR="00EC114E" w:rsidRPr="00EC114E">
        <w:rPr>
          <w:rFonts w:asciiTheme="minorHAnsi" w:hAnsiTheme="minorHAnsi"/>
        </w:rPr>
        <w:t>66</w:t>
      </w:r>
      <w:r w:rsidR="00872E73" w:rsidRPr="00EC114E">
        <w:rPr>
          <w:rFonts w:asciiTheme="minorHAnsi" w:hAnsiTheme="minorHAnsi"/>
        </w:rPr>
        <w:t>,</w:t>
      </w:r>
      <w:r w:rsidR="00926CC7">
        <w:rPr>
          <w:rFonts w:asciiTheme="minorHAnsi" w:hAnsiTheme="minorHAnsi"/>
        </w:rPr>
        <w:t>3</w:t>
      </w:r>
      <w:r w:rsidRPr="00EC114E">
        <w:rPr>
          <w:rFonts w:asciiTheme="minorHAnsi" w:hAnsiTheme="minorHAnsi"/>
        </w:rPr>
        <w:t xml:space="preserve"> </w:t>
      </w:r>
      <w:r w:rsidR="00451C93" w:rsidRPr="00EC114E">
        <w:rPr>
          <w:rFonts w:asciiTheme="minorHAnsi" w:hAnsiTheme="minorHAnsi"/>
        </w:rPr>
        <w:t>%)</w:t>
      </w:r>
      <w:r w:rsidR="00926CC7">
        <w:rPr>
          <w:rFonts w:asciiTheme="minorHAnsi" w:hAnsiTheme="minorHAnsi"/>
        </w:rPr>
        <w:t>, dada la magnitud de la diferencia absoluta entre ellos</w:t>
      </w:r>
      <w:r w:rsidR="00FE76A1" w:rsidRPr="00EC114E">
        <w:rPr>
          <w:rFonts w:asciiTheme="minorHAnsi" w:hAnsiTheme="minorHAnsi"/>
        </w:rPr>
        <w:t xml:space="preserve">. Por su parte </w:t>
      </w:r>
      <w:r w:rsidR="00451C93" w:rsidRPr="00EC114E">
        <w:rPr>
          <w:rFonts w:asciiTheme="minorHAnsi" w:hAnsiTheme="minorHAnsi"/>
        </w:rPr>
        <w:t xml:space="preserve">el Gasto </w:t>
      </w:r>
      <w:r w:rsidR="00C512C5" w:rsidRPr="00EC114E">
        <w:rPr>
          <w:rFonts w:asciiTheme="minorHAnsi" w:hAnsiTheme="minorHAnsi"/>
        </w:rPr>
        <w:t>Primario</w:t>
      </w:r>
      <w:r w:rsidR="00451C93" w:rsidRPr="00EC114E">
        <w:rPr>
          <w:rFonts w:asciiTheme="minorHAnsi" w:hAnsiTheme="minorHAnsi"/>
        </w:rPr>
        <w:t xml:space="preserve"> </w:t>
      </w:r>
      <w:r w:rsidR="00FE76A1" w:rsidRPr="00EC114E">
        <w:rPr>
          <w:rFonts w:asciiTheme="minorHAnsi" w:hAnsiTheme="minorHAnsi"/>
        </w:rPr>
        <w:t xml:space="preserve">se incrementa </w:t>
      </w:r>
      <w:r w:rsidR="00EC114E" w:rsidRPr="00EC114E">
        <w:rPr>
          <w:rFonts w:asciiTheme="minorHAnsi" w:hAnsiTheme="minorHAnsi"/>
        </w:rPr>
        <w:t>64,</w:t>
      </w:r>
      <w:r w:rsidR="00926CC7">
        <w:rPr>
          <w:rFonts w:asciiTheme="minorHAnsi" w:hAnsiTheme="minorHAnsi"/>
        </w:rPr>
        <w:t>7</w:t>
      </w:r>
      <w:r w:rsidR="00451C93" w:rsidRPr="00EC114E">
        <w:rPr>
          <w:rFonts w:asciiTheme="minorHAnsi" w:hAnsiTheme="minorHAnsi"/>
        </w:rPr>
        <w:t xml:space="preserve"> %</w:t>
      </w:r>
      <w:r w:rsidRPr="00EC114E">
        <w:rPr>
          <w:rFonts w:asciiTheme="minorHAnsi" w:hAnsiTheme="minorHAnsi"/>
        </w:rPr>
        <w:t>.</w:t>
      </w:r>
      <w:r w:rsidR="004D5D49" w:rsidRPr="00EC114E">
        <w:rPr>
          <w:rFonts w:asciiTheme="minorHAnsi" w:hAnsiTheme="minorHAnsi"/>
        </w:rPr>
        <w:t xml:space="preserve"> De este modo, el Resultado Financiero </w:t>
      </w:r>
      <w:r w:rsidR="005539D0" w:rsidRPr="00EC114E">
        <w:rPr>
          <w:rFonts w:asciiTheme="minorHAnsi" w:hAnsiTheme="minorHAnsi"/>
        </w:rPr>
        <w:t>alcanza</w:t>
      </w:r>
      <w:r w:rsidR="004D5D49" w:rsidRPr="00EC114E">
        <w:rPr>
          <w:rFonts w:asciiTheme="minorHAnsi" w:hAnsiTheme="minorHAnsi"/>
        </w:rPr>
        <w:t xml:space="preserve"> un superávit de $ </w:t>
      </w:r>
      <w:r w:rsidR="00926CC7">
        <w:rPr>
          <w:rFonts w:asciiTheme="minorHAnsi" w:hAnsiTheme="minorHAnsi"/>
        </w:rPr>
        <w:t>268.749</w:t>
      </w:r>
      <w:r w:rsidR="004D5D49" w:rsidRPr="00EC114E">
        <w:rPr>
          <w:rFonts w:asciiTheme="minorHAnsi" w:hAnsiTheme="minorHAnsi"/>
        </w:rPr>
        <w:t xml:space="preserve"> millones, lo que representa un incremento comparativo de </w:t>
      </w:r>
      <w:r w:rsidR="00926CC7">
        <w:rPr>
          <w:rFonts w:asciiTheme="minorHAnsi" w:hAnsiTheme="minorHAnsi"/>
        </w:rPr>
        <w:t>30,9</w:t>
      </w:r>
      <w:r w:rsidR="004D5D49" w:rsidRPr="00EC114E">
        <w:rPr>
          <w:rFonts w:asciiTheme="minorHAnsi" w:hAnsiTheme="minorHAnsi"/>
        </w:rPr>
        <w:t xml:space="preserve"> % respecto del mismo resultado al primer trimestre de 20</w:t>
      </w:r>
      <w:r w:rsidR="00872E73" w:rsidRPr="00EC114E">
        <w:rPr>
          <w:rFonts w:asciiTheme="minorHAnsi" w:hAnsiTheme="minorHAnsi"/>
        </w:rPr>
        <w:t>2</w:t>
      </w:r>
      <w:r w:rsidR="00EC114E" w:rsidRPr="00EC114E">
        <w:rPr>
          <w:rFonts w:asciiTheme="minorHAnsi" w:hAnsiTheme="minorHAnsi"/>
        </w:rPr>
        <w:t>1</w:t>
      </w:r>
      <w:r w:rsidR="004D5D49" w:rsidRPr="00EC114E">
        <w:rPr>
          <w:rFonts w:asciiTheme="minorHAnsi" w:hAnsiTheme="minorHAnsi"/>
        </w:rPr>
        <w:t>.</w:t>
      </w:r>
    </w:p>
    <w:p w:rsidR="00451C93" w:rsidRDefault="00451C93" w:rsidP="00BE0CEE">
      <w:pPr>
        <w:suppressAutoHyphens/>
        <w:jc w:val="both"/>
        <w:rPr>
          <w:rFonts w:asciiTheme="minorHAnsi" w:hAnsiTheme="minorHAnsi"/>
        </w:rPr>
      </w:pPr>
    </w:p>
    <w:p w:rsidR="007E4952" w:rsidRDefault="00F133D6" w:rsidP="00F133D6">
      <w:pPr>
        <w:suppressAutoHyphens/>
        <w:jc w:val="center"/>
        <w:rPr>
          <w:rFonts w:asciiTheme="minorHAnsi" w:hAnsiTheme="minorHAnsi"/>
        </w:rPr>
      </w:pPr>
      <w:r w:rsidRPr="00F133D6">
        <w:rPr>
          <w:rFonts w:asciiTheme="minorHAnsi" w:hAnsiTheme="minorHAnsi"/>
          <w:b/>
        </w:rPr>
        <w:t xml:space="preserve">Cuadro </w:t>
      </w:r>
      <w:r w:rsidR="00DA7565">
        <w:rPr>
          <w:rFonts w:asciiTheme="minorHAnsi" w:hAnsiTheme="minorHAnsi"/>
          <w:b/>
        </w:rPr>
        <w:t>1</w:t>
      </w:r>
      <w:r w:rsidRPr="00F133D6">
        <w:rPr>
          <w:rFonts w:asciiTheme="minorHAnsi" w:hAnsiTheme="minorHAnsi"/>
          <w:b/>
        </w:rPr>
        <w:t>.</w:t>
      </w:r>
      <w:r w:rsidRPr="00F133D6">
        <w:rPr>
          <w:rFonts w:asciiTheme="minorHAnsi" w:hAnsiTheme="minorHAnsi"/>
        </w:rPr>
        <w:t xml:space="preserve"> Principales resultados de la APNF - base devengado</w:t>
      </w:r>
    </w:p>
    <w:p w:rsidR="00F133D6" w:rsidRPr="00F133D6" w:rsidRDefault="007E4952" w:rsidP="00F133D6">
      <w:pPr>
        <w:suppressAutoHyphens/>
        <w:jc w:val="center"/>
        <w:rPr>
          <w:rFonts w:asciiTheme="minorHAnsi" w:hAnsiTheme="minorHAnsi"/>
        </w:rPr>
      </w:pPr>
      <w:r>
        <w:rPr>
          <w:rFonts w:asciiTheme="minorHAnsi" w:hAnsiTheme="minorHAnsi"/>
        </w:rPr>
        <w:t>Comparativo I Trimestre 20</w:t>
      </w:r>
      <w:r w:rsidR="0035460E">
        <w:rPr>
          <w:rFonts w:asciiTheme="minorHAnsi" w:hAnsiTheme="minorHAnsi"/>
        </w:rPr>
        <w:t>2</w:t>
      </w:r>
      <w:r w:rsidR="00745967">
        <w:rPr>
          <w:rFonts w:asciiTheme="minorHAnsi" w:hAnsiTheme="minorHAnsi"/>
        </w:rPr>
        <w:t>2</w:t>
      </w:r>
      <w:r>
        <w:rPr>
          <w:rFonts w:asciiTheme="minorHAnsi" w:hAnsiTheme="minorHAnsi"/>
        </w:rPr>
        <w:t>-20</w:t>
      </w:r>
      <w:r w:rsidR="000314E2">
        <w:rPr>
          <w:rFonts w:asciiTheme="minorHAnsi" w:hAnsiTheme="minorHAnsi"/>
        </w:rPr>
        <w:t>2</w:t>
      </w:r>
      <w:r w:rsidR="00745967">
        <w:rPr>
          <w:rFonts w:asciiTheme="minorHAnsi" w:hAnsiTheme="minorHAnsi"/>
        </w:rPr>
        <w:t>1</w:t>
      </w:r>
    </w:p>
    <w:p w:rsidR="00F133D6" w:rsidRDefault="00F133D6" w:rsidP="009D616A">
      <w:pPr>
        <w:suppressAutoHyphens/>
        <w:spacing w:after="120"/>
        <w:jc w:val="center"/>
        <w:rPr>
          <w:rFonts w:asciiTheme="minorHAnsi" w:hAnsiTheme="minorHAnsi"/>
        </w:rPr>
      </w:pPr>
      <w:r>
        <w:rPr>
          <w:rFonts w:asciiTheme="minorHAnsi" w:hAnsiTheme="minorHAnsi"/>
        </w:rPr>
        <w:t>E</w:t>
      </w:r>
      <w:r w:rsidRPr="00F133D6">
        <w:rPr>
          <w:rFonts w:asciiTheme="minorHAnsi" w:hAnsiTheme="minorHAnsi"/>
        </w:rPr>
        <w:t>n millones de pesos</w:t>
      </w:r>
    </w:p>
    <w:p w:rsidR="00142052" w:rsidRDefault="0006374F" w:rsidP="007E4952">
      <w:pPr>
        <w:suppressAutoHyphens/>
        <w:jc w:val="center"/>
        <w:rPr>
          <w:rFonts w:ascii="Calibri" w:hAnsi="Calibri"/>
          <w:sz w:val="20"/>
          <w:szCs w:val="20"/>
        </w:rPr>
      </w:pPr>
      <w:r w:rsidRPr="0006374F">
        <w:rPr>
          <w:noProof/>
          <w:lang w:val="es-AR" w:eastAsia="es-AR"/>
        </w:rPr>
        <w:drawing>
          <wp:inline distT="0" distB="0" distL="0" distR="0">
            <wp:extent cx="4352925" cy="15335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52925" cy="1533525"/>
                    </a:xfrm>
                    <a:prstGeom prst="rect">
                      <a:avLst/>
                    </a:prstGeom>
                    <a:noFill/>
                    <a:ln>
                      <a:noFill/>
                    </a:ln>
                  </pic:spPr>
                </pic:pic>
              </a:graphicData>
            </a:graphic>
          </wp:inline>
        </w:drawing>
      </w:r>
    </w:p>
    <w:p w:rsidR="00590089" w:rsidRPr="00DB5695" w:rsidRDefault="00590089" w:rsidP="000671EE">
      <w:pPr>
        <w:suppressAutoHyphens/>
        <w:ind w:left="851"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4705BA" w:rsidRPr="00B85EE8" w:rsidRDefault="004705BA" w:rsidP="00F702B8">
      <w:pPr>
        <w:suppressAutoHyphens/>
        <w:jc w:val="both"/>
        <w:rPr>
          <w:rFonts w:asciiTheme="minorHAnsi" w:hAnsiTheme="minorHAnsi"/>
          <w:highlight w:val="yellow"/>
        </w:rPr>
      </w:pPr>
    </w:p>
    <w:p w:rsidR="00C5626D" w:rsidRPr="00681F2C" w:rsidRDefault="00C5626D" w:rsidP="00632AB1">
      <w:pPr>
        <w:suppressAutoHyphens/>
        <w:jc w:val="both"/>
        <w:rPr>
          <w:rFonts w:asciiTheme="minorHAnsi" w:hAnsiTheme="minorHAnsi"/>
        </w:rPr>
      </w:pPr>
    </w:p>
    <w:p w:rsidR="00CD59DA" w:rsidRDefault="00B61E6C" w:rsidP="006D7D02">
      <w:pPr>
        <w:pStyle w:val="Ttulo1"/>
        <w:numPr>
          <w:ilvl w:val="0"/>
          <w:numId w:val="0"/>
        </w:numPr>
        <w:pBdr>
          <w:bottom w:val="single" w:sz="4" w:space="1" w:color="auto"/>
        </w:pBdr>
      </w:pPr>
      <w:bookmarkStart w:id="11" w:name="_Toc532574488"/>
      <w:bookmarkStart w:id="12" w:name="_Toc3367371"/>
      <w:r>
        <w:t>3</w:t>
      </w:r>
      <w:r w:rsidR="006A5035">
        <w:t>. RECURSOS</w:t>
      </w:r>
      <w:bookmarkEnd w:id="11"/>
      <w:bookmarkEnd w:id="12"/>
    </w:p>
    <w:p w:rsidR="00C5626D" w:rsidRPr="00FE76A1" w:rsidRDefault="00C5626D" w:rsidP="00FE76A1">
      <w:pPr>
        <w:jc w:val="both"/>
        <w:rPr>
          <w:rFonts w:asciiTheme="minorHAnsi" w:hAnsiTheme="minorHAnsi"/>
        </w:rPr>
      </w:pPr>
    </w:p>
    <w:p w:rsidR="00332D55" w:rsidRPr="005C1207" w:rsidRDefault="00332D55" w:rsidP="00332D55">
      <w:pPr>
        <w:suppressAutoHyphens/>
        <w:jc w:val="both"/>
        <w:rPr>
          <w:rFonts w:asciiTheme="minorHAnsi" w:hAnsiTheme="minorHAnsi"/>
        </w:rPr>
      </w:pPr>
      <w:r w:rsidRPr="005C1207">
        <w:rPr>
          <w:rFonts w:asciiTheme="minorHAnsi" w:hAnsiTheme="minorHAnsi"/>
        </w:rPr>
        <w:t>Durante el primer trimestre de 2022, el conjunto de las 24 jurisdicciones percibió ingresos por un total de $ 2.427.417 millones (Cuadro 2), mostrando un crecimiento relativo respecto del primer trimestre de 2021 de 61,5 %, porcentaje que se explica principalmente por el comportamiento de los Recursos Tributarios, que aportan 74,8 % del incremento total de los ingresos, y presentan una variación interanual positiva de 57,9 %.</w:t>
      </w:r>
    </w:p>
    <w:p w:rsidR="00332D55" w:rsidRPr="005C1207" w:rsidRDefault="00332D55" w:rsidP="00332D55">
      <w:pPr>
        <w:jc w:val="both"/>
        <w:rPr>
          <w:rFonts w:asciiTheme="minorHAnsi" w:hAnsiTheme="minorHAnsi"/>
        </w:rPr>
      </w:pPr>
    </w:p>
    <w:p w:rsidR="00332D55" w:rsidRPr="00FD38F9" w:rsidRDefault="00332D55" w:rsidP="00332D55">
      <w:pPr>
        <w:jc w:val="both"/>
        <w:rPr>
          <w:rFonts w:asciiTheme="minorHAnsi" w:hAnsiTheme="minorHAnsi"/>
        </w:rPr>
      </w:pPr>
      <w:r w:rsidRPr="00FC6A39">
        <w:rPr>
          <w:rFonts w:asciiTheme="minorHAnsi" w:hAnsiTheme="minorHAnsi"/>
        </w:rPr>
        <w:t>Los Ingresos Tributarios de Origen Nacional registran un crecimiento interanual de</w:t>
      </w:r>
      <w:r>
        <w:rPr>
          <w:rFonts w:asciiTheme="minorHAnsi" w:hAnsiTheme="minorHAnsi"/>
        </w:rPr>
        <w:t>l</w:t>
      </w:r>
      <w:r w:rsidRPr="00FC6A39">
        <w:rPr>
          <w:rFonts w:asciiTheme="minorHAnsi" w:hAnsiTheme="minorHAnsi"/>
        </w:rPr>
        <w:t xml:space="preserve"> 57,2 % y contribuyen con 43,7 % del aumento de los ingresos totales. Su principal componente son los recursos por Coparticipación Federal de Impuestos (Ley </w:t>
      </w:r>
      <w:r w:rsidRPr="00FC6A39">
        <w:rPr>
          <w:rFonts w:ascii="Calibri" w:hAnsi="Calibri"/>
        </w:rPr>
        <w:t xml:space="preserve">N° </w:t>
      </w:r>
      <w:r w:rsidRPr="00FC6A39">
        <w:rPr>
          <w:rFonts w:asciiTheme="minorHAnsi" w:hAnsiTheme="minorHAnsi"/>
        </w:rPr>
        <w:t xml:space="preserve">23.548), que representan </w:t>
      </w:r>
      <w:r>
        <w:rPr>
          <w:rFonts w:asciiTheme="minorHAnsi" w:hAnsiTheme="minorHAnsi"/>
        </w:rPr>
        <w:t>90</w:t>
      </w:r>
      <w:r w:rsidRPr="00FC6A39">
        <w:rPr>
          <w:rFonts w:asciiTheme="minorHAnsi" w:hAnsiTheme="minorHAnsi"/>
        </w:rPr>
        <w:t>,</w:t>
      </w:r>
      <w:r>
        <w:rPr>
          <w:rFonts w:asciiTheme="minorHAnsi" w:hAnsiTheme="minorHAnsi"/>
        </w:rPr>
        <w:t>5</w:t>
      </w:r>
      <w:r w:rsidRPr="00FC6A39">
        <w:rPr>
          <w:rFonts w:asciiTheme="minorHAnsi" w:hAnsiTheme="minorHAnsi"/>
        </w:rPr>
        <w:t xml:space="preserve"> % de los tributarios de origen nacional y registran un </w:t>
      </w:r>
      <w:r w:rsidRPr="00FC6A39">
        <w:rPr>
          <w:rFonts w:asciiTheme="minorHAnsi" w:hAnsiTheme="minorHAnsi"/>
        </w:rPr>
        <w:lastRenderedPageBreak/>
        <w:t>incremento interanual de 57,7 %; mientras que el conjunto de Otros Recursos de Origen Nacional muestra un crecimiento de 52,7 %.</w:t>
      </w:r>
    </w:p>
    <w:p w:rsidR="00CE0801" w:rsidRPr="00AA0301" w:rsidRDefault="00CE0801" w:rsidP="00CE0801">
      <w:pPr>
        <w:jc w:val="both"/>
        <w:rPr>
          <w:rFonts w:asciiTheme="minorHAnsi" w:hAnsiTheme="minorHAnsi"/>
          <w:highlight w:val="yellow"/>
        </w:rPr>
      </w:pPr>
    </w:p>
    <w:p w:rsidR="00F133D6" w:rsidRPr="00332D55" w:rsidRDefault="00F133D6" w:rsidP="00F133D6">
      <w:pPr>
        <w:suppressAutoHyphens/>
        <w:jc w:val="center"/>
        <w:rPr>
          <w:rFonts w:asciiTheme="minorHAnsi" w:hAnsiTheme="minorHAnsi"/>
        </w:rPr>
      </w:pPr>
      <w:r w:rsidRPr="00332D55">
        <w:rPr>
          <w:rFonts w:asciiTheme="minorHAnsi" w:hAnsiTheme="minorHAnsi"/>
          <w:b/>
        </w:rPr>
        <w:t xml:space="preserve">Cuadro </w:t>
      </w:r>
      <w:r w:rsidR="00DA7565" w:rsidRPr="00332D55">
        <w:rPr>
          <w:rFonts w:asciiTheme="minorHAnsi" w:hAnsiTheme="minorHAnsi"/>
          <w:b/>
        </w:rPr>
        <w:t>2</w:t>
      </w:r>
      <w:r w:rsidRPr="00332D55">
        <w:rPr>
          <w:rFonts w:asciiTheme="minorHAnsi" w:hAnsiTheme="minorHAnsi"/>
          <w:b/>
        </w:rPr>
        <w:t>.</w:t>
      </w:r>
      <w:r w:rsidRPr="00332D55">
        <w:rPr>
          <w:rFonts w:asciiTheme="minorHAnsi" w:hAnsiTheme="minorHAnsi"/>
        </w:rPr>
        <w:t xml:space="preserve"> Ingresos totales de la APNF</w:t>
      </w:r>
    </w:p>
    <w:p w:rsidR="007E4952" w:rsidRPr="00332D55" w:rsidRDefault="007E4952" w:rsidP="007E4952">
      <w:pPr>
        <w:suppressAutoHyphens/>
        <w:jc w:val="center"/>
        <w:rPr>
          <w:rFonts w:asciiTheme="minorHAnsi" w:hAnsiTheme="minorHAnsi"/>
        </w:rPr>
      </w:pPr>
      <w:r w:rsidRPr="00332D55">
        <w:rPr>
          <w:rFonts w:asciiTheme="minorHAnsi" w:hAnsiTheme="minorHAnsi"/>
        </w:rPr>
        <w:t>Comparativo I Trimestre 20</w:t>
      </w:r>
      <w:r w:rsidR="0035460E" w:rsidRPr="00332D55">
        <w:rPr>
          <w:rFonts w:asciiTheme="minorHAnsi" w:hAnsiTheme="minorHAnsi"/>
        </w:rPr>
        <w:t>2</w:t>
      </w:r>
      <w:r w:rsidR="00745967" w:rsidRPr="00332D55">
        <w:rPr>
          <w:rFonts w:asciiTheme="minorHAnsi" w:hAnsiTheme="minorHAnsi"/>
        </w:rPr>
        <w:t>2</w:t>
      </w:r>
      <w:r w:rsidRPr="00332D55">
        <w:rPr>
          <w:rFonts w:asciiTheme="minorHAnsi" w:hAnsiTheme="minorHAnsi"/>
        </w:rPr>
        <w:t>-20</w:t>
      </w:r>
      <w:r w:rsidR="000314E2" w:rsidRPr="00332D55">
        <w:rPr>
          <w:rFonts w:asciiTheme="minorHAnsi" w:hAnsiTheme="minorHAnsi"/>
        </w:rPr>
        <w:t>2</w:t>
      </w:r>
      <w:r w:rsidR="00745967" w:rsidRPr="00332D55">
        <w:rPr>
          <w:rFonts w:asciiTheme="minorHAnsi" w:hAnsiTheme="minorHAnsi"/>
        </w:rPr>
        <w:t>1</w:t>
      </w:r>
    </w:p>
    <w:p w:rsidR="00F133D6" w:rsidRPr="00332D55" w:rsidRDefault="00F133D6" w:rsidP="009D616A">
      <w:pPr>
        <w:suppressAutoHyphens/>
        <w:spacing w:after="120"/>
        <w:jc w:val="center"/>
        <w:rPr>
          <w:rFonts w:asciiTheme="minorHAnsi" w:hAnsiTheme="minorHAnsi"/>
        </w:rPr>
      </w:pPr>
      <w:r w:rsidRPr="00332D55">
        <w:rPr>
          <w:rFonts w:asciiTheme="minorHAnsi" w:hAnsiTheme="minorHAnsi"/>
        </w:rPr>
        <w:t>En millones de pesos</w:t>
      </w:r>
    </w:p>
    <w:p w:rsidR="00142052" w:rsidRPr="00332D55" w:rsidRDefault="0006374F" w:rsidP="007E4952">
      <w:pPr>
        <w:suppressAutoHyphens/>
        <w:jc w:val="center"/>
        <w:rPr>
          <w:rFonts w:ascii="Calibri" w:hAnsi="Calibri"/>
          <w:sz w:val="20"/>
          <w:szCs w:val="20"/>
        </w:rPr>
      </w:pPr>
      <w:r w:rsidRPr="00332D55">
        <w:rPr>
          <w:noProof/>
          <w:lang w:val="es-AR" w:eastAsia="es-AR"/>
        </w:rPr>
        <w:drawing>
          <wp:inline distT="0" distB="0" distL="0" distR="0">
            <wp:extent cx="5381625" cy="381952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3819525"/>
                    </a:xfrm>
                    <a:prstGeom prst="rect">
                      <a:avLst/>
                    </a:prstGeom>
                    <a:noFill/>
                    <a:ln>
                      <a:noFill/>
                    </a:ln>
                  </pic:spPr>
                </pic:pic>
              </a:graphicData>
            </a:graphic>
          </wp:inline>
        </w:drawing>
      </w:r>
    </w:p>
    <w:p w:rsidR="00590089" w:rsidRPr="00332D55" w:rsidRDefault="00590089" w:rsidP="00590089">
      <w:pPr>
        <w:suppressAutoHyphens/>
        <w:ind w:right="-142"/>
        <w:jc w:val="both"/>
        <w:rPr>
          <w:rFonts w:asciiTheme="minorHAnsi" w:hAnsiTheme="minorHAnsi"/>
          <w:sz w:val="20"/>
          <w:szCs w:val="20"/>
        </w:rPr>
      </w:pPr>
      <w:r w:rsidRPr="00332D55">
        <w:rPr>
          <w:rFonts w:asciiTheme="minorHAnsi" w:hAnsiTheme="minorHAnsi"/>
          <w:b/>
          <w:sz w:val="20"/>
          <w:szCs w:val="20"/>
        </w:rPr>
        <w:t>Fuente</w:t>
      </w:r>
      <w:r w:rsidRPr="00332D55">
        <w:rPr>
          <w:rFonts w:asciiTheme="minorHAnsi" w:hAnsiTheme="minorHAnsi"/>
          <w:sz w:val="20"/>
          <w:szCs w:val="20"/>
        </w:rPr>
        <w:t>: Secretaría de Hacienda en base información provista por las jurisdicciones</w:t>
      </w:r>
    </w:p>
    <w:p w:rsidR="00696972" w:rsidRPr="00AA0301" w:rsidRDefault="00696972" w:rsidP="00D44CD9">
      <w:pPr>
        <w:suppressAutoHyphens/>
        <w:jc w:val="both"/>
        <w:rPr>
          <w:rFonts w:asciiTheme="minorHAnsi" w:hAnsiTheme="minorHAnsi"/>
          <w:highlight w:val="yellow"/>
        </w:rPr>
      </w:pPr>
    </w:p>
    <w:p w:rsidR="00332D55" w:rsidRPr="00FC6A39" w:rsidRDefault="00332D55" w:rsidP="00332D55">
      <w:pPr>
        <w:jc w:val="both"/>
        <w:rPr>
          <w:rFonts w:ascii="Calibri" w:hAnsi="Calibri"/>
        </w:rPr>
      </w:pPr>
      <w:r w:rsidRPr="00FC6A39">
        <w:rPr>
          <w:rFonts w:ascii="Calibri" w:hAnsi="Calibri"/>
        </w:rPr>
        <w:t xml:space="preserve">En lo que respecta a los Otros de Origen Nacional, </w:t>
      </w:r>
      <w:r w:rsidRPr="00CB1F5F">
        <w:rPr>
          <w:rFonts w:ascii="Calibri" w:hAnsi="Calibri"/>
        </w:rPr>
        <w:t xml:space="preserve">su </w:t>
      </w:r>
      <w:r>
        <w:rPr>
          <w:rFonts w:ascii="Calibri" w:hAnsi="Calibri"/>
        </w:rPr>
        <w:t xml:space="preserve">variación </w:t>
      </w:r>
      <w:r w:rsidRPr="00CB1F5F">
        <w:rPr>
          <w:rFonts w:ascii="Calibri" w:hAnsi="Calibri"/>
        </w:rPr>
        <w:t xml:space="preserve">se asocia con </w:t>
      </w:r>
      <w:r>
        <w:rPr>
          <w:rFonts w:ascii="Calibri" w:hAnsi="Calibri"/>
        </w:rPr>
        <w:t xml:space="preserve">los montos recibidos en concepto de </w:t>
      </w:r>
      <w:r w:rsidRPr="00FC6A39">
        <w:rPr>
          <w:rFonts w:ascii="Calibri" w:hAnsi="Calibri"/>
        </w:rPr>
        <w:t>las compensaciones previstas en el Consenso Fiscal 2017 (Ley N° 27.429)</w:t>
      </w:r>
      <w:r>
        <w:rPr>
          <w:rFonts w:ascii="Calibri" w:hAnsi="Calibri"/>
        </w:rPr>
        <w:t xml:space="preserve"> y con </w:t>
      </w:r>
      <w:r w:rsidRPr="00CB1F5F">
        <w:rPr>
          <w:rFonts w:ascii="Calibri" w:hAnsi="Calibri"/>
        </w:rPr>
        <w:t>la recaudación del Impuesto a los Bienes Personales.</w:t>
      </w:r>
      <w:r w:rsidRPr="00FC6A39">
        <w:rPr>
          <w:rFonts w:ascii="Calibri" w:hAnsi="Calibri"/>
        </w:rPr>
        <w:t xml:space="preserve"> </w:t>
      </w:r>
      <w:r>
        <w:rPr>
          <w:rFonts w:ascii="Calibri" w:hAnsi="Calibri"/>
        </w:rPr>
        <w:t xml:space="preserve">Respecto al primer ingreso, </w:t>
      </w:r>
      <w:r w:rsidRPr="00CB1F5F">
        <w:rPr>
          <w:rFonts w:ascii="Calibri" w:hAnsi="Calibri"/>
        </w:rPr>
        <w:t xml:space="preserve">se </w:t>
      </w:r>
      <w:r>
        <w:rPr>
          <w:rFonts w:ascii="Calibri" w:hAnsi="Calibri"/>
        </w:rPr>
        <w:t xml:space="preserve">debe </w:t>
      </w:r>
      <w:r w:rsidRPr="00CB1F5F">
        <w:rPr>
          <w:rFonts w:ascii="Calibri" w:hAnsi="Calibri"/>
        </w:rPr>
        <w:t xml:space="preserve">señalar que </w:t>
      </w:r>
      <w:r>
        <w:rPr>
          <w:rFonts w:ascii="Calibri" w:hAnsi="Calibri"/>
        </w:rPr>
        <w:t xml:space="preserve">durante </w:t>
      </w:r>
      <w:r w:rsidRPr="00CB1F5F">
        <w:rPr>
          <w:rFonts w:ascii="Calibri" w:hAnsi="Calibri"/>
        </w:rPr>
        <w:t>202</w:t>
      </w:r>
      <w:r>
        <w:rPr>
          <w:rFonts w:ascii="Calibri" w:hAnsi="Calibri"/>
        </w:rPr>
        <w:t>2</w:t>
      </w:r>
      <w:r w:rsidRPr="00CB1F5F">
        <w:rPr>
          <w:rFonts w:ascii="Calibri" w:hAnsi="Calibri"/>
        </w:rPr>
        <w:t xml:space="preserve"> </w:t>
      </w:r>
      <w:r>
        <w:rPr>
          <w:rFonts w:ascii="Calibri" w:hAnsi="Calibri"/>
        </w:rPr>
        <w:t xml:space="preserve">mantuvieron su vigencia </w:t>
      </w:r>
      <w:r w:rsidRPr="00CB1F5F">
        <w:rPr>
          <w:rFonts w:ascii="Calibri" w:hAnsi="Calibri"/>
        </w:rPr>
        <w:t>las compensaciones previstas en la cláusula II. a)</w:t>
      </w:r>
      <w:r>
        <w:rPr>
          <w:rFonts w:ascii="Calibri" w:hAnsi="Calibri"/>
        </w:rPr>
        <w:t>,</w:t>
      </w:r>
      <w:r w:rsidRPr="00CB1F5F">
        <w:rPr>
          <w:rFonts w:ascii="Calibri" w:hAnsi="Calibri"/>
        </w:rPr>
        <w:t xml:space="preserve"> b)</w:t>
      </w:r>
      <w:r>
        <w:rPr>
          <w:rFonts w:ascii="Calibri" w:hAnsi="Calibri"/>
        </w:rPr>
        <w:t>,</w:t>
      </w:r>
      <w:r w:rsidRPr="00CB1F5F">
        <w:rPr>
          <w:rFonts w:ascii="Calibri" w:hAnsi="Calibri"/>
        </w:rPr>
        <w:t xml:space="preserve"> d) y e). </w:t>
      </w:r>
      <w:r>
        <w:rPr>
          <w:rFonts w:ascii="Calibri" w:hAnsi="Calibri"/>
        </w:rPr>
        <w:t xml:space="preserve">del mencionado Consenso y, como </w:t>
      </w:r>
      <w:r w:rsidRPr="00FC6A39">
        <w:rPr>
          <w:rFonts w:ascii="Calibri" w:hAnsi="Calibri"/>
        </w:rPr>
        <w:t xml:space="preserve">consecuencia de </w:t>
      </w:r>
      <w:r>
        <w:rPr>
          <w:rFonts w:ascii="Calibri" w:hAnsi="Calibri"/>
        </w:rPr>
        <w:t>las mismas</w:t>
      </w:r>
      <w:r w:rsidRPr="00FC6A39">
        <w:rPr>
          <w:rFonts w:ascii="Calibri" w:hAnsi="Calibri"/>
        </w:rPr>
        <w:t>, 21 Jurisdicciones recibieron compensaciones diarias por un monto consolidado al primer trimestre de 2022 de $ 46.491 millones, lo cual significa un incremento de 84,8 % con respecto al mismo trimestre del año anterior.</w:t>
      </w:r>
    </w:p>
    <w:p w:rsidR="00332D55" w:rsidRPr="00745967" w:rsidRDefault="00332D55" w:rsidP="00332D55">
      <w:pPr>
        <w:jc w:val="both"/>
        <w:rPr>
          <w:rFonts w:asciiTheme="minorHAnsi" w:hAnsiTheme="minorHAnsi"/>
          <w:highlight w:val="yellow"/>
        </w:rPr>
      </w:pPr>
    </w:p>
    <w:p w:rsidR="00332D55" w:rsidRPr="00E93364" w:rsidRDefault="00332D55" w:rsidP="00332D55">
      <w:pPr>
        <w:suppressAutoHyphens/>
        <w:jc w:val="both"/>
        <w:rPr>
          <w:rFonts w:asciiTheme="minorHAnsi" w:hAnsiTheme="minorHAnsi"/>
        </w:rPr>
      </w:pPr>
      <w:r w:rsidRPr="00D80080">
        <w:rPr>
          <w:rFonts w:ascii="Calibri" w:hAnsi="Calibri"/>
        </w:rPr>
        <w:t>Los Ingresos Tributarios de Origen Provincial, que contribuyen con 31,2 % del aumento de los ingresos totales, presentan una variación positiva de 58,9 %, un tanto m</w:t>
      </w:r>
      <w:r>
        <w:rPr>
          <w:rFonts w:ascii="Calibri" w:hAnsi="Calibri"/>
        </w:rPr>
        <w:t>ayor</w:t>
      </w:r>
      <w:r w:rsidRPr="00D80080">
        <w:rPr>
          <w:rFonts w:ascii="Calibri" w:hAnsi="Calibri"/>
        </w:rPr>
        <w:t xml:space="preserve"> a la observada en los Tributarios de Origen Nacional</w:t>
      </w:r>
      <w:r>
        <w:rPr>
          <w:rFonts w:ascii="Calibri" w:hAnsi="Calibri"/>
        </w:rPr>
        <w:t xml:space="preserve"> (57,2%)</w:t>
      </w:r>
      <w:r w:rsidRPr="00D80080">
        <w:rPr>
          <w:rFonts w:ascii="Calibri" w:hAnsi="Calibri"/>
        </w:rPr>
        <w:t>. La recaudación de Ingresos Brutos, con un aumento de 64,9 %, aportó 74,7 % de los recursos tributarios de origen provincial.</w:t>
      </w:r>
      <w:r w:rsidRPr="00D80080">
        <w:rPr>
          <w:rFonts w:asciiTheme="minorHAnsi" w:hAnsiTheme="minorHAnsi"/>
        </w:rPr>
        <w:t xml:space="preserve"> Los otros tributos registran menores incrementos relativos, tanto en la recaudación del Impuesto a los Sellos (61,8 %) como del Impuesto Inmobiliario (46,5 %), mientras que el Impuesto a los Automotores registra un incremento de </w:t>
      </w:r>
      <w:r w:rsidRPr="00E93364">
        <w:rPr>
          <w:rFonts w:asciiTheme="minorHAnsi" w:hAnsiTheme="minorHAnsi"/>
        </w:rPr>
        <w:t xml:space="preserve">21,7 %. </w:t>
      </w:r>
      <w:r>
        <w:rPr>
          <w:rFonts w:asciiTheme="minorHAnsi" w:hAnsiTheme="minorHAnsi"/>
        </w:rPr>
        <w:t>E</w:t>
      </w:r>
      <w:r w:rsidRPr="00E93364">
        <w:rPr>
          <w:rFonts w:asciiTheme="minorHAnsi" w:hAnsiTheme="minorHAnsi"/>
        </w:rPr>
        <w:t xml:space="preserve">s necesario </w:t>
      </w:r>
      <w:r>
        <w:rPr>
          <w:rFonts w:asciiTheme="minorHAnsi" w:hAnsiTheme="minorHAnsi"/>
        </w:rPr>
        <w:t>destacar</w:t>
      </w:r>
      <w:r w:rsidRPr="00E93364">
        <w:rPr>
          <w:rFonts w:asciiTheme="minorHAnsi" w:hAnsiTheme="minorHAnsi"/>
        </w:rPr>
        <w:t xml:space="preserve"> que el Consenso Fiscal 2021 (Ley </w:t>
      </w:r>
      <w:r w:rsidRPr="00E93364">
        <w:rPr>
          <w:rFonts w:ascii="Calibri" w:hAnsi="Calibri"/>
        </w:rPr>
        <w:t xml:space="preserve">N° </w:t>
      </w:r>
      <w:r w:rsidRPr="00E93364">
        <w:rPr>
          <w:rFonts w:asciiTheme="minorHAnsi" w:hAnsiTheme="minorHAnsi"/>
        </w:rPr>
        <w:t xml:space="preserve">27.687) </w:t>
      </w:r>
      <w:r>
        <w:rPr>
          <w:rFonts w:asciiTheme="minorHAnsi" w:hAnsiTheme="minorHAnsi"/>
        </w:rPr>
        <w:t xml:space="preserve">acordó una serie de compromisos en materia tributaria </w:t>
      </w:r>
      <w:r w:rsidRPr="00F53C3B">
        <w:rPr>
          <w:rFonts w:asciiTheme="minorHAnsi" w:hAnsiTheme="minorHAnsi"/>
        </w:rPr>
        <w:t>estableci</w:t>
      </w:r>
      <w:r>
        <w:rPr>
          <w:rFonts w:asciiTheme="minorHAnsi" w:hAnsiTheme="minorHAnsi"/>
        </w:rPr>
        <w:t xml:space="preserve">endo, por ejemplo, en el caso de los </w:t>
      </w:r>
      <w:r>
        <w:rPr>
          <w:rFonts w:asciiTheme="minorHAnsi" w:hAnsiTheme="minorHAnsi"/>
        </w:rPr>
        <w:lastRenderedPageBreak/>
        <w:t xml:space="preserve">ingresos brutos, </w:t>
      </w:r>
      <w:r w:rsidRPr="00F53C3B">
        <w:rPr>
          <w:rFonts w:asciiTheme="minorHAnsi" w:hAnsiTheme="minorHAnsi"/>
        </w:rPr>
        <w:t xml:space="preserve">alícuotas máximas </w:t>
      </w:r>
      <w:r>
        <w:rPr>
          <w:rFonts w:asciiTheme="minorHAnsi" w:hAnsiTheme="minorHAnsi"/>
        </w:rPr>
        <w:t xml:space="preserve">por actividad, </w:t>
      </w:r>
      <w:r w:rsidRPr="00F53C3B">
        <w:rPr>
          <w:rFonts w:asciiTheme="minorHAnsi" w:hAnsiTheme="minorHAnsi"/>
        </w:rPr>
        <w:t>en línea</w:t>
      </w:r>
      <w:r>
        <w:rPr>
          <w:rFonts w:asciiTheme="minorHAnsi" w:hAnsiTheme="minorHAnsi"/>
        </w:rPr>
        <w:t xml:space="preserve"> </w:t>
      </w:r>
      <w:r w:rsidRPr="00F53C3B">
        <w:rPr>
          <w:rFonts w:asciiTheme="minorHAnsi" w:hAnsiTheme="minorHAnsi"/>
        </w:rPr>
        <w:t xml:space="preserve">con las vigentes para </w:t>
      </w:r>
      <w:r>
        <w:rPr>
          <w:rFonts w:asciiTheme="minorHAnsi" w:hAnsiTheme="minorHAnsi"/>
        </w:rPr>
        <w:t xml:space="preserve">el año </w:t>
      </w:r>
      <w:r w:rsidRPr="00F53C3B">
        <w:rPr>
          <w:rFonts w:asciiTheme="minorHAnsi" w:hAnsiTheme="minorHAnsi"/>
        </w:rPr>
        <w:t xml:space="preserve">2019 </w:t>
      </w:r>
      <w:r>
        <w:rPr>
          <w:rFonts w:asciiTheme="minorHAnsi" w:hAnsiTheme="minorHAnsi"/>
        </w:rPr>
        <w:t xml:space="preserve">de acuerdo con el </w:t>
      </w:r>
      <w:r w:rsidRPr="00FC6A39">
        <w:rPr>
          <w:rFonts w:ascii="Calibri" w:hAnsi="Calibri"/>
        </w:rPr>
        <w:t>Consenso Fiscal 2017</w:t>
      </w:r>
      <w:r>
        <w:rPr>
          <w:rFonts w:asciiTheme="minorHAnsi" w:hAnsiTheme="minorHAnsi"/>
        </w:rPr>
        <w:t>-exceptuando a la intermediación y servicios financieros y las comunicaciones-</w:t>
      </w:r>
      <w:r>
        <w:rPr>
          <w:rFonts w:ascii="Calibri" w:hAnsi="Calibri"/>
        </w:rPr>
        <w:t xml:space="preserve">, y nuevas alícuotas máximas para el impuesto a los sellos. </w:t>
      </w:r>
    </w:p>
    <w:p w:rsidR="00332D55" w:rsidRPr="00745967" w:rsidRDefault="00332D55" w:rsidP="00332D55">
      <w:pPr>
        <w:suppressAutoHyphens/>
        <w:jc w:val="both"/>
        <w:rPr>
          <w:rFonts w:asciiTheme="minorHAnsi" w:hAnsiTheme="minorHAnsi"/>
          <w:highlight w:val="yellow"/>
        </w:rPr>
      </w:pPr>
    </w:p>
    <w:p w:rsidR="00332D55" w:rsidRPr="00D80080" w:rsidRDefault="00332D55" w:rsidP="00332D55">
      <w:pPr>
        <w:suppressAutoHyphens/>
        <w:jc w:val="both"/>
        <w:rPr>
          <w:rFonts w:ascii="Calibri" w:hAnsi="Calibri"/>
        </w:rPr>
      </w:pPr>
      <w:r w:rsidRPr="00D80080">
        <w:rPr>
          <w:rFonts w:asciiTheme="minorHAnsi" w:hAnsiTheme="minorHAnsi"/>
        </w:rPr>
        <w:t xml:space="preserve">Los ingresos por Contribuciones de la Seguridad Social se incrementan interanualmente 70,5 %, contribuyendo con 9,9 % del aumento de los recursos totales. Como se menciona en el apartado respectivo a Gastos en Personal, la suba de estos recursos se encuentra principalmente relacionada con la dinámica salarial del empleo público provincial, siendo que </w:t>
      </w:r>
      <w:r w:rsidRPr="00D80080">
        <w:rPr>
          <w:rFonts w:ascii="Calibri" w:hAnsi="Calibri"/>
        </w:rPr>
        <w:t>sólo 13 Provincias perciben ingresos por este concepto, ya que 11 Jurisdicciones transfirieron sus sistemas previsionales a la Administración Nacional.</w:t>
      </w:r>
    </w:p>
    <w:p w:rsidR="00332D55" w:rsidRPr="00D80080" w:rsidRDefault="00332D55" w:rsidP="00332D55">
      <w:pPr>
        <w:suppressAutoHyphens/>
        <w:jc w:val="both"/>
        <w:rPr>
          <w:rFonts w:ascii="Calibri" w:hAnsi="Calibri"/>
        </w:rPr>
      </w:pPr>
    </w:p>
    <w:p w:rsidR="00332D55" w:rsidRPr="00D80080" w:rsidRDefault="00332D55" w:rsidP="00332D55">
      <w:pPr>
        <w:suppressAutoHyphens/>
        <w:jc w:val="both"/>
        <w:rPr>
          <w:rFonts w:ascii="Calibri" w:hAnsi="Calibri"/>
        </w:rPr>
      </w:pPr>
      <w:r w:rsidRPr="00D80080">
        <w:rPr>
          <w:rFonts w:asciiTheme="minorHAnsi" w:hAnsiTheme="minorHAnsi"/>
        </w:rPr>
        <w:t xml:space="preserve">Los Ingresos No Tributarios muestran un aumento de 69,4 %, liderados por un incremento de 72,1 % de las Regalías, originadas en su mayor proporción en la actividad hidrocarburífera en las provincias. </w:t>
      </w:r>
      <w:r w:rsidRPr="00D80080">
        <w:rPr>
          <w:rFonts w:ascii="Calibri" w:hAnsi="Calibri"/>
        </w:rPr>
        <w:t>La dinámica de las regalías hidrocarburíferas estuvo principalmente determinada por la recuperación de</w:t>
      </w:r>
      <w:r>
        <w:rPr>
          <w:rFonts w:ascii="Calibri" w:hAnsi="Calibri"/>
        </w:rPr>
        <w:t xml:space="preserve"> los </w:t>
      </w:r>
      <w:r w:rsidRPr="00D80080">
        <w:rPr>
          <w:rFonts w:ascii="Calibri" w:hAnsi="Calibri"/>
        </w:rPr>
        <w:t>precio</w:t>
      </w:r>
      <w:r>
        <w:rPr>
          <w:rFonts w:ascii="Calibri" w:hAnsi="Calibri"/>
        </w:rPr>
        <w:t>s</w:t>
      </w:r>
      <w:r w:rsidRPr="00D80080">
        <w:rPr>
          <w:rFonts w:ascii="Calibri" w:hAnsi="Calibri"/>
        </w:rPr>
        <w:t xml:space="preserve"> del gas natural</w:t>
      </w:r>
      <w:r>
        <w:rPr>
          <w:rFonts w:ascii="Calibri" w:hAnsi="Calibri"/>
        </w:rPr>
        <w:t xml:space="preserve"> y del petróleo, </w:t>
      </w:r>
      <w:r w:rsidRPr="00D80080">
        <w:rPr>
          <w:rFonts w:ascii="Calibri" w:hAnsi="Calibri"/>
        </w:rPr>
        <w:t xml:space="preserve">conjuntamente con el aumento del tipo de cambio. </w:t>
      </w:r>
      <w:r w:rsidRPr="00D80080">
        <w:rPr>
          <w:rFonts w:asciiTheme="minorHAnsi" w:hAnsiTheme="minorHAnsi"/>
        </w:rPr>
        <w:t>La variación nominal de los denominados Otros ingresos No Tributarios alcanzó 66,9 % respecto del mismo trimestre del año anterior.</w:t>
      </w:r>
    </w:p>
    <w:p w:rsidR="00332D55" w:rsidRPr="00D80080" w:rsidRDefault="00332D55" w:rsidP="00332D55">
      <w:pPr>
        <w:suppressAutoHyphens/>
        <w:jc w:val="both"/>
        <w:rPr>
          <w:rFonts w:asciiTheme="minorHAnsi" w:hAnsiTheme="minorHAnsi"/>
        </w:rPr>
      </w:pPr>
    </w:p>
    <w:p w:rsidR="00332D55" w:rsidRPr="00895195" w:rsidRDefault="00332D55" w:rsidP="00332D55">
      <w:pPr>
        <w:suppressAutoHyphens/>
        <w:jc w:val="both"/>
        <w:rPr>
          <w:rFonts w:ascii="Calibri" w:hAnsi="Calibri"/>
        </w:rPr>
      </w:pPr>
      <w:r w:rsidRPr="00A0361A">
        <w:rPr>
          <w:rFonts w:asciiTheme="minorHAnsi" w:hAnsiTheme="minorHAnsi"/>
        </w:rPr>
        <w:t xml:space="preserve">Los recursos por Transferencias Corrientes, </w:t>
      </w:r>
      <w:r w:rsidRPr="00A0361A">
        <w:rPr>
          <w:rFonts w:ascii="Calibri" w:hAnsi="Calibri"/>
        </w:rPr>
        <w:t>originados mayoritariamente en el Gobierno Nacional,</w:t>
      </w:r>
      <w:r>
        <w:rPr>
          <w:rFonts w:asciiTheme="minorHAnsi" w:hAnsiTheme="minorHAnsi"/>
        </w:rPr>
        <w:t xml:space="preserve"> presentan una mejora de 92,9 %. </w:t>
      </w:r>
      <w:r w:rsidRPr="00895195">
        <w:rPr>
          <w:rFonts w:ascii="Calibri" w:hAnsi="Calibri"/>
        </w:rPr>
        <w:t xml:space="preserve">En </w:t>
      </w:r>
      <w:r>
        <w:rPr>
          <w:rFonts w:ascii="Calibri" w:hAnsi="Calibri"/>
        </w:rPr>
        <w:t xml:space="preserve">el primer trimestre de </w:t>
      </w:r>
      <w:r w:rsidRPr="00895195">
        <w:rPr>
          <w:rFonts w:ascii="Calibri" w:hAnsi="Calibri"/>
        </w:rPr>
        <w:t>202</w:t>
      </w:r>
      <w:r>
        <w:rPr>
          <w:rFonts w:ascii="Calibri" w:hAnsi="Calibri"/>
        </w:rPr>
        <w:t>2</w:t>
      </w:r>
      <w:r w:rsidRPr="00895195">
        <w:rPr>
          <w:rFonts w:ascii="Calibri" w:hAnsi="Calibri"/>
        </w:rPr>
        <w:t xml:space="preserve"> se destacan las transferencias </w:t>
      </w:r>
      <w:r>
        <w:rPr>
          <w:rFonts w:ascii="Calibri" w:hAnsi="Calibri"/>
        </w:rPr>
        <w:t>efectuadas en el marco d</w:t>
      </w:r>
      <w:r w:rsidRPr="00895195">
        <w:rPr>
          <w:rFonts w:ascii="Calibri" w:hAnsi="Calibri"/>
        </w:rPr>
        <w:t>e</w:t>
      </w:r>
      <w:r>
        <w:rPr>
          <w:rFonts w:ascii="Calibri" w:hAnsi="Calibri"/>
        </w:rPr>
        <w:t xml:space="preserve">l programa </w:t>
      </w:r>
      <w:r w:rsidRPr="00895195">
        <w:rPr>
          <w:rFonts w:ascii="Calibri" w:hAnsi="Calibri"/>
        </w:rPr>
        <w:t>Fondo para el Fortalecimiento Fiscal de la Provincia de Buenos Aires (Decreto N° 735/2020)</w:t>
      </w:r>
      <w:r>
        <w:rPr>
          <w:rFonts w:ascii="Calibri" w:hAnsi="Calibri"/>
        </w:rPr>
        <w:t>, de</w:t>
      </w:r>
      <w:r w:rsidRPr="00895195">
        <w:rPr>
          <w:rFonts w:ascii="Calibri" w:hAnsi="Calibri"/>
        </w:rPr>
        <w:t xml:space="preserve">l art. 3° de </w:t>
      </w:r>
      <w:r>
        <w:rPr>
          <w:rFonts w:ascii="Calibri" w:hAnsi="Calibri"/>
        </w:rPr>
        <w:t xml:space="preserve">la </w:t>
      </w:r>
      <w:r w:rsidRPr="00895195">
        <w:rPr>
          <w:rFonts w:ascii="Calibri" w:hAnsi="Calibri"/>
        </w:rPr>
        <w:t>reglamentación de la Ley 27.606</w:t>
      </w:r>
      <w:r>
        <w:rPr>
          <w:rFonts w:ascii="Calibri" w:hAnsi="Calibri"/>
        </w:rPr>
        <w:t xml:space="preserve"> (traspaso de las fuerzas de seguridad no federales a la </w:t>
      </w:r>
      <w:r w:rsidRPr="00E93364">
        <w:rPr>
          <w:rFonts w:asciiTheme="minorHAnsi" w:hAnsiTheme="minorHAnsi"/>
        </w:rPr>
        <w:t>Ciudad Autónoma de Buenos Aires</w:t>
      </w:r>
      <w:r>
        <w:rPr>
          <w:rFonts w:ascii="Calibri" w:hAnsi="Calibri"/>
        </w:rPr>
        <w:t xml:space="preserve">), del </w:t>
      </w:r>
      <w:r w:rsidRPr="00895195">
        <w:rPr>
          <w:rFonts w:ascii="Calibri" w:hAnsi="Calibri"/>
        </w:rPr>
        <w:t>Fondo Nacional de Incentivo Docente,</w:t>
      </w:r>
      <w:r>
        <w:rPr>
          <w:rFonts w:ascii="Calibri" w:hAnsi="Calibri"/>
        </w:rPr>
        <w:t xml:space="preserve"> así como otras obligaciones a cargo del Tesoro Nacional y las destinadas a l</w:t>
      </w:r>
      <w:r w:rsidRPr="00895195">
        <w:rPr>
          <w:rFonts w:ascii="Calibri" w:hAnsi="Calibri"/>
        </w:rPr>
        <w:t>as Cajas Previsionales provinciales por la aplicación de la cláusula XII del Compromiso Federal aprobado por la Ley 25.235</w:t>
      </w:r>
      <w:r>
        <w:rPr>
          <w:rFonts w:ascii="Calibri" w:hAnsi="Calibri"/>
        </w:rPr>
        <w:t xml:space="preserve">. </w:t>
      </w:r>
      <w:r w:rsidRPr="00895195">
        <w:rPr>
          <w:rFonts w:ascii="Calibri" w:hAnsi="Calibri"/>
        </w:rPr>
        <w:t xml:space="preserve">Cabe señalar que el comportamiento de </w:t>
      </w:r>
      <w:r>
        <w:rPr>
          <w:rFonts w:ascii="Calibri" w:hAnsi="Calibri"/>
        </w:rPr>
        <w:t xml:space="preserve">los dos primeros programas </w:t>
      </w:r>
      <w:r w:rsidRPr="00895195">
        <w:rPr>
          <w:rFonts w:ascii="Calibri" w:hAnsi="Calibri"/>
        </w:rPr>
        <w:t>depende de la dinámica de la masa coparticipable de impuestos federales</w:t>
      </w:r>
      <w:r>
        <w:rPr>
          <w:rFonts w:ascii="Calibri" w:hAnsi="Calibri"/>
        </w:rPr>
        <w:t xml:space="preserve"> y de</w:t>
      </w:r>
      <w:r w:rsidRPr="00895195">
        <w:rPr>
          <w:rFonts w:ascii="Calibri" w:hAnsi="Calibri"/>
        </w:rPr>
        <w:t xml:space="preserve"> la evolución del salario de las fuerzas de seguridad y la variación del índice de precios, </w:t>
      </w:r>
      <w:r>
        <w:rPr>
          <w:rFonts w:ascii="Calibri" w:hAnsi="Calibri"/>
        </w:rPr>
        <w:t xml:space="preserve">respectivamente, </w:t>
      </w:r>
      <w:r w:rsidRPr="00895195">
        <w:rPr>
          <w:rFonts w:ascii="Calibri" w:hAnsi="Calibri"/>
        </w:rPr>
        <w:t>y se compone de recursos que antes eran expuestos como Tributarios de Origen Nacional.</w:t>
      </w:r>
    </w:p>
    <w:p w:rsidR="00332D55" w:rsidRPr="00A0361A" w:rsidRDefault="00332D55" w:rsidP="00332D55">
      <w:pPr>
        <w:suppressAutoHyphens/>
        <w:jc w:val="both"/>
        <w:rPr>
          <w:rFonts w:asciiTheme="minorHAnsi" w:hAnsiTheme="minorHAnsi"/>
        </w:rPr>
      </w:pPr>
    </w:p>
    <w:p w:rsidR="00332D55" w:rsidRPr="00A0361A" w:rsidRDefault="00332D55" w:rsidP="00332D55">
      <w:pPr>
        <w:suppressAutoHyphens/>
        <w:jc w:val="both"/>
        <w:rPr>
          <w:rFonts w:asciiTheme="minorHAnsi" w:hAnsiTheme="minorHAnsi"/>
        </w:rPr>
      </w:pPr>
      <w:r w:rsidRPr="00A0361A">
        <w:rPr>
          <w:rFonts w:asciiTheme="minorHAnsi" w:hAnsiTheme="minorHAnsi"/>
        </w:rPr>
        <w:t>En lo que respecta a los ingresos por Rentas de la Propiedad, se observa un crecimiento interanual significativo (143,8 %); en tanto que las Ventas de Bienes y Servicios aumentan 100,7 %.</w:t>
      </w:r>
    </w:p>
    <w:p w:rsidR="00332D55" w:rsidRPr="00745967" w:rsidRDefault="00332D55" w:rsidP="00332D55">
      <w:pPr>
        <w:suppressAutoHyphens/>
        <w:jc w:val="both"/>
        <w:rPr>
          <w:rFonts w:asciiTheme="minorHAnsi" w:hAnsiTheme="minorHAnsi"/>
          <w:highlight w:val="yellow"/>
        </w:rPr>
      </w:pPr>
    </w:p>
    <w:p w:rsidR="00332D55" w:rsidRPr="00FB4A9C" w:rsidRDefault="00332D55" w:rsidP="00332D55">
      <w:pPr>
        <w:suppressAutoHyphens/>
        <w:jc w:val="both"/>
        <w:rPr>
          <w:rFonts w:ascii="Calibri" w:hAnsi="Calibri"/>
        </w:rPr>
      </w:pPr>
      <w:r w:rsidRPr="00FB4A9C">
        <w:rPr>
          <w:rFonts w:asciiTheme="minorHAnsi" w:hAnsiTheme="minorHAnsi"/>
        </w:rPr>
        <w:t xml:space="preserve">Por su parte, los ingresos por Transferencias de Capital, realizadas también principalmente por el Gobierno Nacional, experimentan un incremento </w:t>
      </w:r>
      <w:r>
        <w:rPr>
          <w:rFonts w:asciiTheme="minorHAnsi" w:hAnsiTheme="minorHAnsi"/>
        </w:rPr>
        <w:t>del</w:t>
      </w:r>
      <w:r w:rsidRPr="00FB4A9C">
        <w:rPr>
          <w:rFonts w:asciiTheme="minorHAnsi" w:hAnsiTheme="minorHAnsi"/>
        </w:rPr>
        <w:t xml:space="preserve"> 27,2 % respecto del primer trimestre de 2021. </w:t>
      </w:r>
      <w:bookmarkStart w:id="13" w:name="_Hlk105954478"/>
      <w:r w:rsidRPr="00FB4A9C">
        <w:rPr>
          <w:rFonts w:ascii="Calibri" w:hAnsi="Calibri"/>
        </w:rPr>
        <w:t>Durante el primer trimestre de 2022 se destacan los aumentos en las transferencias para obras viales</w:t>
      </w:r>
      <w:r>
        <w:rPr>
          <w:rFonts w:ascii="Calibri" w:hAnsi="Calibri"/>
        </w:rPr>
        <w:t xml:space="preserve">, </w:t>
      </w:r>
      <w:r w:rsidRPr="00FB4A9C">
        <w:rPr>
          <w:rFonts w:ascii="Calibri" w:hAnsi="Calibri"/>
        </w:rPr>
        <w:t>de vivienda</w:t>
      </w:r>
      <w:r>
        <w:rPr>
          <w:rFonts w:ascii="Calibri" w:hAnsi="Calibri"/>
        </w:rPr>
        <w:t xml:space="preserve"> y </w:t>
      </w:r>
      <w:bookmarkEnd w:id="13"/>
      <w:r w:rsidRPr="00FB4A9C">
        <w:rPr>
          <w:rFonts w:ascii="Calibri" w:hAnsi="Calibri"/>
        </w:rPr>
        <w:t xml:space="preserve">las destinadas a fortalecer la infraestructura </w:t>
      </w:r>
      <w:r>
        <w:rPr>
          <w:rFonts w:ascii="Calibri" w:hAnsi="Calibri"/>
        </w:rPr>
        <w:t xml:space="preserve">en obras hídricas de saneamiento. </w:t>
      </w:r>
    </w:p>
    <w:p w:rsidR="00332D55" w:rsidRPr="00745967" w:rsidRDefault="00332D55" w:rsidP="00332D55">
      <w:pPr>
        <w:suppressAutoHyphens/>
        <w:jc w:val="both"/>
        <w:rPr>
          <w:rFonts w:asciiTheme="minorHAnsi" w:hAnsiTheme="minorHAnsi"/>
          <w:highlight w:val="yellow"/>
        </w:rPr>
      </w:pPr>
    </w:p>
    <w:p w:rsidR="00332D55" w:rsidRDefault="00332D55" w:rsidP="00332D55">
      <w:pPr>
        <w:suppressAutoHyphens/>
        <w:jc w:val="both"/>
        <w:rPr>
          <w:rFonts w:ascii="Calibri" w:hAnsi="Calibri"/>
        </w:rPr>
      </w:pPr>
      <w:r w:rsidRPr="00E93364">
        <w:rPr>
          <w:rFonts w:asciiTheme="minorHAnsi" w:hAnsiTheme="minorHAnsi"/>
        </w:rPr>
        <w:t xml:space="preserve">Los Recursos Propios de Capital presentan un incremento sustantivo respecto de </w:t>
      </w:r>
      <w:r>
        <w:rPr>
          <w:rFonts w:asciiTheme="minorHAnsi" w:hAnsiTheme="minorHAnsi"/>
        </w:rPr>
        <w:t>igual</w:t>
      </w:r>
      <w:r w:rsidRPr="00E93364">
        <w:rPr>
          <w:rFonts w:asciiTheme="minorHAnsi" w:hAnsiTheme="minorHAnsi"/>
        </w:rPr>
        <w:t xml:space="preserve"> período de 2021, por efecto </w:t>
      </w:r>
      <w:r>
        <w:rPr>
          <w:rFonts w:asciiTheme="minorHAnsi" w:hAnsiTheme="minorHAnsi"/>
        </w:rPr>
        <w:t xml:space="preserve">principalmente </w:t>
      </w:r>
      <w:r w:rsidRPr="00E93364">
        <w:rPr>
          <w:rFonts w:asciiTheme="minorHAnsi" w:hAnsiTheme="minorHAnsi"/>
        </w:rPr>
        <w:t xml:space="preserve">de la venta de inmuebles </w:t>
      </w:r>
      <w:r>
        <w:rPr>
          <w:rFonts w:asciiTheme="minorHAnsi" w:hAnsiTheme="minorHAnsi"/>
        </w:rPr>
        <w:t xml:space="preserve">y terrenos </w:t>
      </w:r>
      <w:r w:rsidRPr="00E93364">
        <w:rPr>
          <w:rFonts w:asciiTheme="minorHAnsi" w:hAnsiTheme="minorHAnsi"/>
        </w:rPr>
        <w:t xml:space="preserve">en </w:t>
      </w:r>
      <w:r w:rsidRPr="00E93364">
        <w:rPr>
          <w:rFonts w:asciiTheme="minorHAnsi" w:hAnsiTheme="minorHAnsi"/>
        </w:rPr>
        <w:lastRenderedPageBreak/>
        <w:t>jurisdicción de la Ciudad Autónoma de Buenos Aires</w:t>
      </w:r>
      <w:r>
        <w:rPr>
          <w:rFonts w:asciiTheme="minorHAnsi" w:hAnsiTheme="minorHAnsi"/>
        </w:rPr>
        <w:t xml:space="preserve">; </w:t>
      </w:r>
      <w:r w:rsidRPr="00E93364">
        <w:rPr>
          <w:rFonts w:asciiTheme="minorHAnsi" w:hAnsiTheme="minorHAnsi"/>
        </w:rPr>
        <w:t xml:space="preserve">mientras que la Disminución de la Inversión Financiera </w:t>
      </w:r>
      <w:r w:rsidRPr="00E93364">
        <w:rPr>
          <w:rFonts w:ascii="Calibri" w:hAnsi="Calibri"/>
        </w:rPr>
        <w:t>–vinculada principalmente con el Recupero de Préstamos –</w:t>
      </w:r>
      <w:r w:rsidRPr="00E93364">
        <w:rPr>
          <w:rFonts w:asciiTheme="minorHAnsi" w:hAnsiTheme="minorHAnsi"/>
        </w:rPr>
        <w:t xml:space="preserve">crece 17,4%. </w:t>
      </w:r>
      <w:r w:rsidRPr="00E93364">
        <w:rPr>
          <w:rFonts w:ascii="Calibri" w:hAnsi="Calibri"/>
        </w:rPr>
        <w:t>Corresponde destacar que el comportamiento de estos conceptos tiene escasa relevancia en los ingresos totales.</w:t>
      </w:r>
    </w:p>
    <w:p w:rsidR="00332D55" w:rsidRDefault="00332D55" w:rsidP="00332D55">
      <w:pPr>
        <w:suppressAutoHyphens/>
        <w:jc w:val="both"/>
        <w:rPr>
          <w:rFonts w:asciiTheme="minorHAnsi" w:hAnsiTheme="minorHAnsi"/>
        </w:rPr>
      </w:pPr>
    </w:p>
    <w:p w:rsidR="00332D55" w:rsidRDefault="00332D55" w:rsidP="00332D55">
      <w:pPr>
        <w:suppressAutoHyphens/>
        <w:jc w:val="both"/>
        <w:rPr>
          <w:rFonts w:asciiTheme="minorHAnsi" w:hAnsiTheme="minorHAnsi" w:cs="Arial"/>
        </w:rPr>
      </w:pPr>
      <w:r>
        <w:rPr>
          <w:rFonts w:asciiTheme="minorHAnsi" w:hAnsiTheme="minorHAnsi" w:cs="Arial"/>
        </w:rPr>
        <w:t>El Gráfico 1 muestra la participación de los principales recursos en el total de ingresos para el consolidado de las 24 jurisdicciones durante el primer trimestre de 2022.</w:t>
      </w:r>
    </w:p>
    <w:p w:rsidR="00332D55" w:rsidRDefault="00332D55" w:rsidP="00332D55">
      <w:pPr>
        <w:suppressAutoHyphens/>
        <w:jc w:val="both"/>
        <w:rPr>
          <w:rFonts w:asciiTheme="minorHAnsi" w:hAnsiTheme="minorHAnsi" w:cs="Arial"/>
        </w:rPr>
      </w:pPr>
    </w:p>
    <w:p w:rsidR="00480BFC" w:rsidRPr="00332D55" w:rsidRDefault="00480BFC" w:rsidP="00480BFC">
      <w:pPr>
        <w:suppressAutoHyphens/>
        <w:jc w:val="center"/>
        <w:rPr>
          <w:rFonts w:asciiTheme="minorHAnsi" w:hAnsiTheme="minorHAnsi" w:cs="Arial"/>
        </w:rPr>
      </w:pPr>
      <w:r w:rsidRPr="00332D55">
        <w:rPr>
          <w:rFonts w:asciiTheme="minorHAnsi" w:hAnsiTheme="minorHAnsi" w:cs="Arial"/>
          <w:b/>
        </w:rPr>
        <w:t>Gráfico 1.</w:t>
      </w:r>
      <w:r w:rsidRPr="00332D55">
        <w:rPr>
          <w:rFonts w:asciiTheme="minorHAnsi" w:hAnsiTheme="minorHAnsi" w:cs="Arial"/>
        </w:rPr>
        <w:t xml:space="preserve"> Estructura porcentual de los ingresos</w:t>
      </w:r>
    </w:p>
    <w:p w:rsidR="00480BFC" w:rsidRPr="00332D55" w:rsidRDefault="00480BFC" w:rsidP="00480BFC">
      <w:pPr>
        <w:suppressAutoHyphens/>
        <w:spacing w:after="120"/>
        <w:jc w:val="center"/>
        <w:rPr>
          <w:rFonts w:asciiTheme="minorHAnsi" w:hAnsiTheme="minorHAnsi" w:cs="Arial"/>
        </w:rPr>
      </w:pPr>
      <w:r w:rsidRPr="00332D55">
        <w:rPr>
          <w:rFonts w:asciiTheme="minorHAnsi" w:hAnsiTheme="minorHAnsi" w:cs="Arial"/>
        </w:rPr>
        <w:t>I Trimestre 20</w:t>
      </w:r>
      <w:r w:rsidR="0035460E" w:rsidRPr="00332D55">
        <w:rPr>
          <w:rFonts w:asciiTheme="minorHAnsi" w:hAnsiTheme="minorHAnsi" w:cs="Arial"/>
        </w:rPr>
        <w:t>2</w:t>
      </w:r>
      <w:r w:rsidR="00745967" w:rsidRPr="00332D55">
        <w:rPr>
          <w:rFonts w:asciiTheme="minorHAnsi" w:hAnsiTheme="minorHAnsi" w:cs="Arial"/>
        </w:rPr>
        <w:t>2</w:t>
      </w:r>
    </w:p>
    <w:p w:rsidR="00480BFC" w:rsidRPr="00AA0301" w:rsidRDefault="00915C93" w:rsidP="00480BFC">
      <w:pPr>
        <w:suppressAutoHyphens/>
        <w:jc w:val="center"/>
        <w:rPr>
          <w:rFonts w:asciiTheme="minorHAnsi" w:hAnsiTheme="minorHAnsi"/>
          <w:sz w:val="20"/>
          <w:szCs w:val="20"/>
          <w:highlight w:val="yellow"/>
        </w:rPr>
      </w:pPr>
      <w:r w:rsidRPr="00AA0301">
        <w:rPr>
          <w:rFonts w:asciiTheme="minorHAnsi" w:hAnsiTheme="minorHAnsi"/>
          <w:noProof/>
          <w:sz w:val="20"/>
          <w:szCs w:val="20"/>
          <w:highlight w:val="yellow"/>
          <w:lang w:val="es-AR" w:eastAsia="es-AR"/>
        </w:rPr>
        <w:drawing>
          <wp:inline distT="0" distB="0" distL="0" distR="0" wp14:anchorId="303586D3">
            <wp:extent cx="5360400" cy="3294000"/>
            <wp:effectExtent l="19050" t="19050" r="12065" b="2095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60400" cy="3294000"/>
                    </a:xfrm>
                    <a:prstGeom prst="rect">
                      <a:avLst/>
                    </a:prstGeom>
                    <a:noFill/>
                    <a:ln w="15875">
                      <a:solidFill>
                        <a:schemeClr val="tx1"/>
                      </a:solidFill>
                    </a:ln>
                  </pic:spPr>
                </pic:pic>
              </a:graphicData>
            </a:graphic>
          </wp:inline>
        </w:drawing>
      </w:r>
    </w:p>
    <w:p w:rsidR="00AC31B4" w:rsidRPr="00332D55" w:rsidRDefault="00AC31B4" w:rsidP="00866C11">
      <w:pPr>
        <w:suppressAutoHyphens/>
        <w:spacing w:before="120"/>
        <w:ind w:left="142"/>
        <w:rPr>
          <w:rFonts w:ascii="Calibri" w:hAnsi="Calibri"/>
          <w:sz w:val="20"/>
          <w:szCs w:val="20"/>
        </w:rPr>
      </w:pPr>
      <w:r w:rsidRPr="00332D55">
        <w:rPr>
          <w:rFonts w:ascii="Calibri" w:hAnsi="Calibri"/>
          <w:b/>
          <w:sz w:val="20"/>
          <w:szCs w:val="20"/>
        </w:rPr>
        <w:t xml:space="preserve">(1): </w:t>
      </w:r>
      <w:r w:rsidRPr="00332D55">
        <w:rPr>
          <w:rFonts w:ascii="Calibri" w:hAnsi="Calibri"/>
          <w:sz w:val="20"/>
          <w:szCs w:val="20"/>
        </w:rPr>
        <w:t>Otros ingresos provinciales, comprende Rentas de la Propiedad, Venta de Bienes y Servicios de la Administración Pública</w:t>
      </w:r>
      <w:r w:rsidR="005354B5" w:rsidRPr="00332D55">
        <w:rPr>
          <w:rFonts w:ascii="Calibri" w:hAnsi="Calibri"/>
          <w:sz w:val="20"/>
          <w:szCs w:val="20"/>
        </w:rPr>
        <w:t>, Recursos propios</w:t>
      </w:r>
      <w:r w:rsidRPr="00332D55">
        <w:rPr>
          <w:rFonts w:ascii="Calibri" w:hAnsi="Calibri"/>
          <w:sz w:val="20"/>
          <w:szCs w:val="20"/>
        </w:rPr>
        <w:t xml:space="preserve"> de Capital</w:t>
      </w:r>
      <w:r w:rsidR="005354B5" w:rsidRPr="00332D55">
        <w:rPr>
          <w:rFonts w:ascii="Calibri" w:hAnsi="Calibri"/>
          <w:sz w:val="20"/>
          <w:szCs w:val="20"/>
        </w:rPr>
        <w:t xml:space="preserve"> y Disminución de la Inversión Financiera</w:t>
      </w:r>
      <w:r w:rsidRPr="00332D55">
        <w:rPr>
          <w:rFonts w:ascii="Calibri" w:hAnsi="Calibri"/>
          <w:sz w:val="20"/>
          <w:szCs w:val="20"/>
        </w:rPr>
        <w:t>.</w:t>
      </w:r>
    </w:p>
    <w:p w:rsidR="00AC31B4" w:rsidRPr="00332D55" w:rsidRDefault="00AC31B4" w:rsidP="00AC31B4">
      <w:pPr>
        <w:suppressAutoHyphens/>
        <w:ind w:left="142"/>
        <w:jc w:val="both"/>
        <w:rPr>
          <w:rFonts w:ascii="Calibri" w:hAnsi="Calibri"/>
          <w:sz w:val="20"/>
          <w:szCs w:val="20"/>
        </w:rPr>
      </w:pPr>
      <w:r w:rsidRPr="00332D55">
        <w:rPr>
          <w:rFonts w:ascii="Calibri" w:hAnsi="Calibri"/>
          <w:b/>
          <w:sz w:val="20"/>
          <w:szCs w:val="20"/>
        </w:rPr>
        <w:t>Fuente</w:t>
      </w:r>
      <w:r w:rsidRPr="00332D55">
        <w:rPr>
          <w:rFonts w:ascii="Calibri" w:hAnsi="Calibri"/>
          <w:sz w:val="20"/>
          <w:szCs w:val="20"/>
        </w:rPr>
        <w:t>: Secretaria de Hacienda en base a información provista por las jurisdicciones</w:t>
      </w:r>
    </w:p>
    <w:p w:rsidR="00C12C75" w:rsidRPr="00AA0301" w:rsidRDefault="00C12C75" w:rsidP="00C12C75">
      <w:pPr>
        <w:suppressAutoHyphens/>
        <w:jc w:val="both"/>
        <w:rPr>
          <w:rFonts w:asciiTheme="minorHAnsi" w:hAnsiTheme="minorHAnsi" w:cs="Arial"/>
          <w:highlight w:val="yellow"/>
        </w:rPr>
      </w:pPr>
    </w:p>
    <w:p w:rsidR="00332D55" w:rsidRDefault="00332D55" w:rsidP="00332D55">
      <w:pPr>
        <w:suppressAutoHyphens/>
        <w:jc w:val="both"/>
        <w:rPr>
          <w:rFonts w:asciiTheme="minorHAnsi" w:hAnsiTheme="minorHAnsi" w:cs="Arial"/>
        </w:rPr>
      </w:pPr>
      <w:r w:rsidRPr="009E4FEF">
        <w:rPr>
          <w:rFonts w:asciiTheme="minorHAnsi" w:hAnsiTheme="minorHAnsi" w:cs="Arial"/>
        </w:rPr>
        <w:t>Se destaca la preponderancia de los Ingresos Tributarios (45,7 % los de origen nacional y 32,0 % los de origen provincial), seguidos en importancia por las Contribuciones a la Seguridad Social (9,1 %), las Transferencias Corrientes (4,7 %), los Ingresos No Tributarios (4,7 %) y las Transferencias de Capital (1,4 %). Los Otros conceptos (2,2 %) se componen de Rentas de la Propiedad, Venta de Bienes y Servicios de la Administración Pública, Recursos propios de Capital y Disminución de la Inversión Financiera, según se detalla al pie del gráfico.</w:t>
      </w:r>
    </w:p>
    <w:p w:rsidR="00332D55" w:rsidRDefault="00332D55" w:rsidP="00332D55">
      <w:pPr>
        <w:suppressAutoHyphens/>
        <w:jc w:val="both"/>
        <w:rPr>
          <w:rFonts w:asciiTheme="minorHAnsi" w:hAnsiTheme="minorHAnsi" w:cs="Arial"/>
        </w:rPr>
      </w:pPr>
    </w:p>
    <w:p w:rsidR="00332D55" w:rsidRDefault="00332D55" w:rsidP="00332D55">
      <w:pPr>
        <w:suppressAutoHyphens/>
        <w:jc w:val="both"/>
        <w:rPr>
          <w:rFonts w:asciiTheme="minorHAnsi" w:hAnsiTheme="minorHAnsi" w:cs="Arial"/>
        </w:rPr>
      </w:pPr>
      <w:r w:rsidRPr="004F0366">
        <w:rPr>
          <w:rFonts w:asciiTheme="minorHAnsi" w:hAnsiTheme="minorHAnsi" w:cs="Arial"/>
        </w:rPr>
        <w:t xml:space="preserve">El indicador de </w:t>
      </w:r>
      <w:r w:rsidRPr="004F0366">
        <w:rPr>
          <w:rFonts w:asciiTheme="minorHAnsi" w:hAnsiTheme="minorHAnsi" w:cs="Arial"/>
          <w:i/>
        </w:rPr>
        <w:t>autofinanciamiento</w:t>
      </w:r>
      <w:r w:rsidRPr="004F0366">
        <w:rPr>
          <w:rFonts w:asciiTheme="minorHAnsi" w:hAnsiTheme="minorHAnsi" w:cs="Arial"/>
        </w:rPr>
        <w:t xml:space="preserve"> provincial, definido a partir de la relación entre los ingresos provinciales</w:t>
      </w:r>
      <w:r w:rsidRPr="004F0366">
        <w:rPr>
          <w:rStyle w:val="Refdenotaalpie"/>
          <w:rFonts w:asciiTheme="minorHAnsi" w:hAnsiTheme="minorHAnsi" w:cs="Arial"/>
        </w:rPr>
        <w:footnoteReference w:id="2"/>
      </w:r>
      <w:r w:rsidRPr="004F0366">
        <w:rPr>
          <w:rFonts w:asciiTheme="minorHAnsi" w:hAnsiTheme="minorHAnsi" w:cs="Arial"/>
        </w:rPr>
        <w:t xml:space="preserve"> y los ingresos totales, alcanzó 48,1 % en el primer trimestre del 2022, representando un incremento de casi 0,9 puntos respecto del valor alcanzado en igual período de 2021.</w:t>
      </w:r>
    </w:p>
    <w:p w:rsidR="00C12C75" w:rsidRDefault="00C12C75" w:rsidP="00C12C75">
      <w:pPr>
        <w:suppressAutoHyphens/>
        <w:jc w:val="both"/>
        <w:rPr>
          <w:rFonts w:asciiTheme="minorHAnsi" w:hAnsiTheme="minorHAnsi" w:cs="Arial"/>
        </w:rPr>
      </w:pPr>
    </w:p>
    <w:p w:rsidR="003064F7" w:rsidRDefault="00B61E6C" w:rsidP="006D7D02">
      <w:pPr>
        <w:pStyle w:val="Ttulo1"/>
        <w:numPr>
          <w:ilvl w:val="0"/>
          <w:numId w:val="0"/>
        </w:numPr>
        <w:pBdr>
          <w:bottom w:val="single" w:sz="4" w:space="1" w:color="auto"/>
        </w:pBdr>
      </w:pPr>
      <w:bookmarkStart w:id="14" w:name="_Toc456279048"/>
      <w:bookmarkStart w:id="15" w:name="_Toc500246798"/>
      <w:bookmarkStart w:id="16" w:name="_Toc532574489"/>
      <w:bookmarkStart w:id="17" w:name="_Toc3367372"/>
      <w:r>
        <w:t>4</w:t>
      </w:r>
      <w:r w:rsidR="006A5035">
        <w:t>.</w:t>
      </w:r>
      <w:r w:rsidR="006A5035" w:rsidRPr="00D03BFA">
        <w:t xml:space="preserve"> G</w:t>
      </w:r>
      <w:r w:rsidR="006A5035">
        <w:t>ASTOS</w:t>
      </w:r>
      <w:bookmarkEnd w:id="14"/>
      <w:bookmarkEnd w:id="15"/>
      <w:bookmarkEnd w:id="16"/>
      <w:bookmarkEnd w:id="17"/>
    </w:p>
    <w:p w:rsidR="00EC0D93" w:rsidRPr="00EC0D93" w:rsidRDefault="00EC0D93" w:rsidP="00EC0D93"/>
    <w:p w:rsidR="003064F7" w:rsidRPr="0025674A" w:rsidRDefault="00B61E6C" w:rsidP="006F4161">
      <w:pPr>
        <w:pStyle w:val="TDC3"/>
      </w:pPr>
      <w:bookmarkStart w:id="18" w:name="_Toc456279049"/>
      <w:bookmarkStart w:id="19" w:name="_Toc500246799"/>
      <w:bookmarkStart w:id="20" w:name="_Toc532574490"/>
      <w:bookmarkStart w:id="21" w:name="_Toc532575880"/>
      <w:bookmarkStart w:id="22" w:name="_Toc532575907"/>
      <w:bookmarkStart w:id="23" w:name="_Toc532575987"/>
      <w:bookmarkStart w:id="24" w:name="_Toc532577652"/>
      <w:bookmarkStart w:id="25" w:name="_Toc532577771"/>
      <w:bookmarkStart w:id="26" w:name="_Toc532577963"/>
      <w:bookmarkStart w:id="27" w:name="_Toc3367373"/>
      <w:r>
        <w:t>4</w:t>
      </w:r>
      <w:r w:rsidR="003A39FE" w:rsidRPr="0025674A">
        <w:t>.1.</w:t>
      </w:r>
      <w:r w:rsidR="0053209D" w:rsidRPr="0025674A">
        <w:t xml:space="preserve"> </w:t>
      </w:r>
      <w:r w:rsidR="003064F7" w:rsidRPr="0025674A">
        <w:t xml:space="preserve">Análisis del Gasto </w:t>
      </w:r>
      <w:r w:rsidR="007F4131">
        <w:t>según</w:t>
      </w:r>
      <w:r w:rsidR="003064F7" w:rsidRPr="0025674A">
        <w:t xml:space="preserve"> Clasificación Económica y por Objeto</w:t>
      </w:r>
      <w:bookmarkEnd w:id="18"/>
      <w:bookmarkEnd w:id="19"/>
      <w:bookmarkEnd w:id="20"/>
      <w:bookmarkEnd w:id="21"/>
      <w:bookmarkEnd w:id="22"/>
      <w:bookmarkEnd w:id="23"/>
      <w:bookmarkEnd w:id="24"/>
      <w:bookmarkEnd w:id="25"/>
      <w:bookmarkEnd w:id="26"/>
      <w:bookmarkEnd w:id="27"/>
    </w:p>
    <w:p w:rsidR="00B85203" w:rsidRDefault="00B85203" w:rsidP="0076644C">
      <w:pPr>
        <w:suppressAutoHyphens/>
        <w:jc w:val="both"/>
        <w:rPr>
          <w:rFonts w:ascii="Calibri" w:hAnsi="Calibri"/>
        </w:rPr>
      </w:pPr>
    </w:p>
    <w:p w:rsidR="008363D8" w:rsidRPr="00921C63" w:rsidRDefault="00B85203" w:rsidP="0076644C">
      <w:pPr>
        <w:suppressAutoHyphens/>
        <w:jc w:val="both"/>
        <w:rPr>
          <w:rFonts w:ascii="Calibri" w:hAnsi="Calibri"/>
        </w:rPr>
      </w:pPr>
      <w:r w:rsidRPr="00921C63">
        <w:rPr>
          <w:rFonts w:ascii="Calibri" w:hAnsi="Calibri"/>
        </w:rPr>
        <w:t xml:space="preserve">El gasto total </w:t>
      </w:r>
      <w:r w:rsidR="001F687C" w:rsidRPr="00921C63">
        <w:rPr>
          <w:rFonts w:ascii="Calibri" w:hAnsi="Calibri"/>
        </w:rPr>
        <w:t xml:space="preserve">acumulado </w:t>
      </w:r>
      <w:r w:rsidRPr="00921C63">
        <w:rPr>
          <w:rFonts w:ascii="Calibri" w:hAnsi="Calibri"/>
        </w:rPr>
        <w:t xml:space="preserve">de las 24 jurisdicciones </w:t>
      </w:r>
      <w:r w:rsidR="00F26297" w:rsidRPr="00921C63">
        <w:rPr>
          <w:rFonts w:ascii="Calibri" w:hAnsi="Calibri"/>
        </w:rPr>
        <w:t xml:space="preserve">al </w:t>
      </w:r>
      <w:r w:rsidR="00DC6801" w:rsidRPr="00921C63">
        <w:rPr>
          <w:rFonts w:ascii="Calibri" w:hAnsi="Calibri"/>
        </w:rPr>
        <w:t>primer</w:t>
      </w:r>
      <w:r w:rsidR="005C3C58" w:rsidRPr="00921C63">
        <w:rPr>
          <w:rFonts w:ascii="Calibri" w:hAnsi="Calibri"/>
        </w:rPr>
        <w:t xml:space="preserve"> </w:t>
      </w:r>
      <w:r w:rsidR="00F26297" w:rsidRPr="00921C63">
        <w:rPr>
          <w:rFonts w:ascii="Calibri" w:hAnsi="Calibri"/>
        </w:rPr>
        <w:t>tri</w:t>
      </w:r>
      <w:r w:rsidR="00C652BF" w:rsidRPr="00921C63">
        <w:rPr>
          <w:rFonts w:ascii="Calibri" w:hAnsi="Calibri"/>
        </w:rPr>
        <w:t>mestre de 20</w:t>
      </w:r>
      <w:r w:rsidR="00DE65F9" w:rsidRPr="00921C63">
        <w:rPr>
          <w:rFonts w:ascii="Calibri" w:hAnsi="Calibri"/>
        </w:rPr>
        <w:t>2</w:t>
      </w:r>
      <w:r w:rsidR="00921C63" w:rsidRPr="00921C63">
        <w:rPr>
          <w:rFonts w:ascii="Calibri" w:hAnsi="Calibri"/>
        </w:rPr>
        <w:t>2</w:t>
      </w:r>
      <w:r w:rsidR="00C652BF" w:rsidRPr="00921C63">
        <w:rPr>
          <w:rFonts w:ascii="Calibri" w:hAnsi="Calibri"/>
        </w:rPr>
        <w:t xml:space="preserve"> </w:t>
      </w:r>
      <w:r w:rsidR="003F4B83" w:rsidRPr="00921C63">
        <w:rPr>
          <w:rFonts w:ascii="Calibri" w:hAnsi="Calibri"/>
        </w:rPr>
        <w:t>totalizó</w:t>
      </w:r>
      <w:r w:rsidR="00C652BF" w:rsidRPr="00921C63">
        <w:rPr>
          <w:rFonts w:ascii="Calibri" w:hAnsi="Calibri"/>
        </w:rPr>
        <w:t xml:space="preserve"> </w:t>
      </w:r>
      <w:r w:rsidR="003F4B83" w:rsidRPr="00921C63">
        <w:rPr>
          <w:rFonts w:ascii="Calibri" w:hAnsi="Calibri"/>
        </w:rPr>
        <w:t xml:space="preserve">  </w:t>
      </w:r>
      <w:r w:rsidRPr="00921C63">
        <w:rPr>
          <w:rFonts w:ascii="Calibri" w:hAnsi="Calibri"/>
        </w:rPr>
        <w:t>$</w:t>
      </w:r>
      <w:r w:rsidR="00DE65F9" w:rsidRPr="00921C63">
        <w:rPr>
          <w:rFonts w:ascii="Calibri" w:hAnsi="Calibri"/>
        </w:rPr>
        <w:t xml:space="preserve"> </w:t>
      </w:r>
      <w:r w:rsidR="00921C63" w:rsidRPr="00921C63">
        <w:rPr>
          <w:rFonts w:ascii="Calibri" w:hAnsi="Calibri"/>
        </w:rPr>
        <w:t>2.</w:t>
      </w:r>
      <w:r w:rsidR="00E70D05">
        <w:rPr>
          <w:rFonts w:ascii="Calibri" w:hAnsi="Calibri"/>
        </w:rPr>
        <w:t>158.668</w:t>
      </w:r>
      <w:r w:rsidR="008E757B" w:rsidRPr="00921C63">
        <w:rPr>
          <w:rFonts w:ascii="Calibri" w:hAnsi="Calibri"/>
        </w:rPr>
        <w:t xml:space="preserve"> </w:t>
      </w:r>
      <w:r w:rsidRPr="00921C63">
        <w:rPr>
          <w:rFonts w:ascii="Calibri" w:hAnsi="Calibri"/>
        </w:rPr>
        <w:t>millones</w:t>
      </w:r>
      <w:r w:rsidR="00DE65F9" w:rsidRPr="00921C63">
        <w:rPr>
          <w:rFonts w:ascii="Calibri" w:hAnsi="Calibri"/>
        </w:rPr>
        <w:t xml:space="preserve">, representando un crecimiento de </w:t>
      </w:r>
      <w:r w:rsidR="00921C63" w:rsidRPr="00921C63">
        <w:rPr>
          <w:rFonts w:ascii="Calibri" w:hAnsi="Calibri"/>
        </w:rPr>
        <w:t>66</w:t>
      </w:r>
      <w:r w:rsidR="003F4B83" w:rsidRPr="00921C63">
        <w:rPr>
          <w:rFonts w:ascii="Calibri" w:hAnsi="Calibri"/>
        </w:rPr>
        <w:t>,</w:t>
      </w:r>
      <w:r w:rsidR="00E70D05">
        <w:rPr>
          <w:rFonts w:ascii="Calibri" w:hAnsi="Calibri"/>
        </w:rPr>
        <w:t>3</w:t>
      </w:r>
      <w:r w:rsidR="00DE65F9" w:rsidRPr="00921C63">
        <w:rPr>
          <w:rFonts w:ascii="Calibri" w:hAnsi="Calibri"/>
        </w:rPr>
        <w:t xml:space="preserve"> % respecto del primer trimestre de 20</w:t>
      </w:r>
      <w:r w:rsidR="003F4B83" w:rsidRPr="00921C63">
        <w:rPr>
          <w:rFonts w:ascii="Calibri" w:hAnsi="Calibri"/>
        </w:rPr>
        <w:t>2</w:t>
      </w:r>
      <w:r w:rsidR="00921C63" w:rsidRPr="00921C63">
        <w:rPr>
          <w:rFonts w:ascii="Calibri" w:hAnsi="Calibri"/>
        </w:rPr>
        <w:t>1</w:t>
      </w:r>
      <w:r w:rsidR="008363D8" w:rsidRPr="00921C63">
        <w:rPr>
          <w:rFonts w:ascii="Calibri" w:hAnsi="Calibri"/>
        </w:rPr>
        <w:t>.</w:t>
      </w:r>
    </w:p>
    <w:p w:rsidR="00424C76" w:rsidRPr="00921C63" w:rsidRDefault="00424C76" w:rsidP="00424C76">
      <w:pPr>
        <w:suppressAutoHyphens/>
        <w:jc w:val="both"/>
        <w:rPr>
          <w:rFonts w:ascii="Calibri" w:hAnsi="Calibri"/>
        </w:rPr>
      </w:pPr>
    </w:p>
    <w:p w:rsidR="00F108C8" w:rsidRPr="00135EB4" w:rsidRDefault="005553EB" w:rsidP="00424C76">
      <w:pPr>
        <w:suppressAutoHyphens/>
        <w:jc w:val="both"/>
        <w:rPr>
          <w:rFonts w:asciiTheme="minorHAnsi" w:hAnsiTheme="minorHAnsi" w:cs="Arial"/>
        </w:rPr>
      </w:pPr>
      <w:r w:rsidRPr="008026B2">
        <w:rPr>
          <w:rFonts w:asciiTheme="minorHAnsi" w:hAnsiTheme="minorHAnsi" w:cs="Arial"/>
        </w:rPr>
        <w:t>L</w:t>
      </w:r>
      <w:r w:rsidR="00424C76" w:rsidRPr="008026B2">
        <w:rPr>
          <w:rFonts w:asciiTheme="minorHAnsi" w:hAnsiTheme="minorHAnsi" w:cs="Arial"/>
        </w:rPr>
        <w:t>a partida Personal</w:t>
      </w:r>
      <w:r w:rsidR="00303702" w:rsidRPr="008026B2">
        <w:rPr>
          <w:rFonts w:asciiTheme="minorHAnsi" w:hAnsiTheme="minorHAnsi" w:cs="Arial"/>
        </w:rPr>
        <w:t xml:space="preserve"> constituye</w:t>
      </w:r>
      <w:r w:rsidRPr="008026B2">
        <w:rPr>
          <w:rFonts w:asciiTheme="minorHAnsi" w:hAnsiTheme="minorHAnsi" w:cs="Arial"/>
        </w:rPr>
        <w:t xml:space="preserve"> el principal componente del gasto,</w:t>
      </w:r>
      <w:r w:rsidR="00424C76" w:rsidRPr="008026B2">
        <w:rPr>
          <w:rFonts w:asciiTheme="minorHAnsi" w:hAnsiTheme="minorHAnsi" w:cs="Arial"/>
        </w:rPr>
        <w:t xml:space="preserve"> registr</w:t>
      </w:r>
      <w:r w:rsidR="00DE65F9" w:rsidRPr="008026B2">
        <w:rPr>
          <w:rFonts w:asciiTheme="minorHAnsi" w:hAnsiTheme="minorHAnsi" w:cs="Arial"/>
        </w:rPr>
        <w:t>a</w:t>
      </w:r>
      <w:r w:rsidR="00303702" w:rsidRPr="008026B2">
        <w:rPr>
          <w:rFonts w:asciiTheme="minorHAnsi" w:hAnsiTheme="minorHAnsi" w:cs="Arial"/>
        </w:rPr>
        <w:t>ndo</w:t>
      </w:r>
      <w:r w:rsidR="00424C76" w:rsidRPr="008026B2">
        <w:rPr>
          <w:rFonts w:asciiTheme="minorHAnsi" w:hAnsiTheme="minorHAnsi" w:cs="Arial"/>
        </w:rPr>
        <w:t xml:space="preserve"> </w:t>
      </w:r>
      <w:r w:rsidR="00DE65F9" w:rsidRPr="008026B2">
        <w:rPr>
          <w:rFonts w:asciiTheme="minorHAnsi" w:hAnsiTheme="minorHAnsi" w:cs="Arial"/>
        </w:rPr>
        <w:t xml:space="preserve">un incremento </w:t>
      </w:r>
      <w:r w:rsidR="00921C63" w:rsidRPr="008026B2">
        <w:rPr>
          <w:rFonts w:asciiTheme="minorHAnsi" w:hAnsiTheme="minorHAnsi" w:cs="Arial"/>
        </w:rPr>
        <w:t>interanual al primer trimestre</w:t>
      </w:r>
      <w:r w:rsidR="00424C76" w:rsidRPr="008026B2">
        <w:rPr>
          <w:rFonts w:asciiTheme="minorHAnsi" w:hAnsiTheme="minorHAnsi" w:cs="Arial"/>
        </w:rPr>
        <w:t xml:space="preserve"> de </w:t>
      </w:r>
      <w:r w:rsidR="00921C63" w:rsidRPr="008026B2">
        <w:rPr>
          <w:rFonts w:asciiTheme="minorHAnsi" w:hAnsiTheme="minorHAnsi" w:cs="Arial"/>
        </w:rPr>
        <w:t>63,1</w:t>
      </w:r>
      <w:r w:rsidR="00424C76" w:rsidRPr="008026B2">
        <w:rPr>
          <w:rFonts w:asciiTheme="minorHAnsi" w:hAnsiTheme="minorHAnsi" w:cs="Arial"/>
        </w:rPr>
        <w:t xml:space="preserve"> % </w:t>
      </w:r>
      <w:r w:rsidR="002C0B0C" w:rsidRPr="008026B2">
        <w:rPr>
          <w:rFonts w:asciiTheme="minorHAnsi" w:hAnsiTheme="minorHAnsi" w:cs="Arial"/>
        </w:rPr>
        <w:t xml:space="preserve">con </w:t>
      </w:r>
      <w:r w:rsidR="00424C76" w:rsidRPr="008026B2">
        <w:rPr>
          <w:rFonts w:asciiTheme="minorHAnsi" w:hAnsiTheme="minorHAnsi" w:cs="Arial"/>
        </w:rPr>
        <w:t>respecto a igual período de 20</w:t>
      </w:r>
      <w:r w:rsidR="00303702" w:rsidRPr="008026B2">
        <w:rPr>
          <w:rFonts w:asciiTheme="minorHAnsi" w:hAnsiTheme="minorHAnsi" w:cs="Arial"/>
        </w:rPr>
        <w:t>2</w:t>
      </w:r>
      <w:r w:rsidR="00921C63" w:rsidRPr="008026B2">
        <w:rPr>
          <w:rFonts w:asciiTheme="minorHAnsi" w:hAnsiTheme="minorHAnsi" w:cs="Arial"/>
        </w:rPr>
        <w:t>1</w:t>
      </w:r>
      <w:r w:rsidR="00303702" w:rsidRPr="008026B2">
        <w:rPr>
          <w:rFonts w:asciiTheme="minorHAnsi" w:hAnsiTheme="minorHAnsi" w:cs="Arial"/>
        </w:rPr>
        <w:t xml:space="preserve">. Este incremento </w:t>
      </w:r>
      <w:r w:rsidR="00E70D05">
        <w:rPr>
          <w:rFonts w:asciiTheme="minorHAnsi" w:hAnsiTheme="minorHAnsi" w:cs="Arial"/>
        </w:rPr>
        <w:t>explica</w:t>
      </w:r>
      <w:r w:rsidR="00424C76" w:rsidRPr="008026B2">
        <w:rPr>
          <w:rFonts w:asciiTheme="minorHAnsi" w:hAnsiTheme="minorHAnsi" w:cs="Arial"/>
        </w:rPr>
        <w:t xml:space="preserve"> </w:t>
      </w:r>
      <w:r w:rsidR="002C247C" w:rsidRPr="008026B2">
        <w:rPr>
          <w:rFonts w:asciiTheme="minorHAnsi" w:hAnsiTheme="minorHAnsi" w:cs="Arial"/>
        </w:rPr>
        <w:t>4</w:t>
      </w:r>
      <w:r w:rsidR="00921C63" w:rsidRPr="008026B2">
        <w:rPr>
          <w:rFonts w:asciiTheme="minorHAnsi" w:hAnsiTheme="minorHAnsi" w:cs="Arial"/>
        </w:rPr>
        <w:t>4</w:t>
      </w:r>
      <w:r w:rsidR="002C247C" w:rsidRPr="008026B2">
        <w:rPr>
          <w:rFonts w:asciiTheme="minorHAnsi" w:hAnsiTheme="minorHAnsi" w:cs="Arial"/>
        </w:rPr>
        <w:t>,4</w:t>
      </w:r>
      <w:r w:rsidR="00424C76" w:rsidRPr="008026B2">
        <w:rPr>
          <w:rFonts w:asciiTheme="minorHAnsi" w:hAnsiTheme="minorHAnsi" w:cs="Arial"/>
        </w:rPr>
        <w:t xml:space="preserve"> % de</w:t>
      </w:r>
      <w:r w:rsidR="00303702" w:rsidRPr="008026B2">
        <w:rPr>
          <w:rFonts w:asciiTheme="minorHAnsi" w:hAnsiTheme="minorHAnsi" w:cs="Arial"/>
        </w:rPr>
        <w:t xml:space="preserve"> </w:t>
      </w:r>
      <w:r w:rsidR="00424C76" w:rsidRPr="008026B2">
        <w:rPr>
          <w:rFonts w:asciiTheme="minorHAnsi" w:hAnsiTheme="minorHAnsi" w:cs="Arial"/>
        </w:rPr>
        <w:t>l</w:t>
      </w:r>
      <w:r w:rsidR="00303702" w:rsidRPr="008026B2">
        <w:rPr>
          <w:rFonts w:asciiTheme="minorHAnsi" w:hAnsiTheme="minorHAnsi" w:cs="Arial"/>
        </w:rPr>
        <w:t>a</w:t>
      </w:r>
      <w:r w:rsidR="00424C76" w:rsidRPr="008026B2">
        <w:rPr>
          <w:rFonts w:asciiTheme="minorHAnsi" w:hAnsiTheme="minorHAnsi" w:cs="Arial"/>
        </w:rPr>
        <w:t xml:space="preserve"> </w:t>
      </w:r>
      <w:r w:rsidR="00303702" w:rsidRPr="008026B2">
        <w:rPr>
          <w:rFonts w:asciiTheme="minorHAnsi" w:hAnsiTheme="minorHAnsi" w:cs="Arial"/>
        </w:rPr>
        <w:t>variación</w:t>
      </w:r>
      <w:r w:rsidR="00424C76" w:rsidRPr="008026B2">
        <w:rPr>
          <w:rFonts w:asciiTheme="minorHAnsi" w:hAnsiTheme="minorHAnsi" w:cs="Arial"/>
        </w:rPr>
        <w:t xml:space="preserve"> total</w:t>
      </w:r>
      <w:r w:rsidRPr="008026B2">
        <w:rPr>
          <w:rFonts w:asciiTheme="minorHAnsi" w:hAnsiTheme="minorHAnsi" w:cs="Arial"/>
        </w:rPr>
        <w:t xml:space="preserve"> de egresos</w:t>
      </w:r>
      <w:r w:rsidR="00424C76" w:rsidRPr="008026B2">
        <w:rPr>
          <w:rFonts w:asciiTheme="minorHAnsi" w:hAnsiTheme="minorHAnsi" w:cs="Arial"/>
        </w:rPr>
        <w:t xml:space="preserve"> (Gráfico 2). </w:t>
      </w:r>
      <w:r w:rsidR="00E70D05">
        <w:rPr>
          <w:rFonts w:asciiTheme="minorHAnsi" w:hAnsiTheme="minorHAnsi" w:cs="Arial"/>
        </w:rPr>
        <w:t>Su</w:t>
      </w:r>
      <w:r w:rsidR="00424C76" w:rsidRPr="008026B2">
        <w:rPr>
          <w:rFonts w:asciiTheme="minorHAnsi" w:hAnsiTheme="minorHAnsi" w:cs="Arial"/>
        </w:rPr>
        <w:t xml:space="preserve"> comportamiento </w:t>
      </w:r>
      <w:r w:rsidR="002C0B0C" w:rsidRPr="008026B2">
        <w:rPr>
          <w:rFonts w:asciiTheme="minorHAnsi" w:hAnsiTheme="minorHAnsi" w:cs="Arial"/>
        </w:rPr>
        <w:t>re</w:t>
      </w:r>
      <w:r w:rsidR="00E70D05">
        <w:rPr>
          <w:rFonts w:asciiTheme="minorHAnsi" w:hAnsiTheme="minorHAnsi" w:cs="Arial"/>
        </w:rPr>
        <w:t>flej</w:t>
      </w:r>
      <w:r w:rsidR="002C0B0C" w:rsidRPr="008026B2">
        <w:rPr>
          <w:rFonts w:asciiTheme="minorHAnsi" w:hAnsiTheme="minorHAnsi" w:cs="Arial"/>
        </w:rPr>
        <w:t>a por una parte el arrastre de</w:t>
      </w:r>
      <w:r w:rsidR="004C0047" w:rsidRPr="008026B2">
        <w:rPr>
          <w:rFonts w:asciiTheme="minorHAnsi" w:hAnsiTheme="minorHAnsi" w:cs="Arial"/>
        </w:rPr>
        <w:t>l</w:t>
      </w:r>
      <w:r w:rsidR="00424C76" w:rsidRPr="008026B2">
        <w:rPr>
          <w:rFonts w:asciiTheme="minorHAnsi" w:hAnsiTheme="minorHAnsi" w:cs="Arial"/>
        </w:rPr>
        <w:t xml:space="preserve"> </w:t>
      </w:r>
      <w:r w:rsidR="00F108C8" w:rsidRPr="008026B2">
        <w:rPr>
          <w:rFonts w:asciiTheme="minorHAnsi" w:hAnsiTheme="minorHAnsi" w:cs="Arial"/>
        </w:rPr>
        <w:t>efecto de</w:t>
      </w:r>
      <w:r w:rsidR="00424C76" w:rsidRPr="008026B2">
        <w:rPr>
          <w:rFonts w:asciiTheme="minorHAnsi" w:hAnsiTheme="minorHAnsi" w:cs="Arial"/>
        </w:rPr>
        <w:t xml:space="preserve"> la política salarial implementada</w:t>
      </w:r>
      <w:r w:rsidRPr="008026B2">
        <w:rPr>
          <w:rFonts w:asciiTheme="minorHAnsi" w:hAnsiTheme="minorHAnsi" w:cs="Arial"/>
        </w:rPr>
        <w:t xml:space="preserve"> </w:t>
      </w:r>
      <w:r w:rsidR="002C0B0C" w:rsidRPr="008026B2">
        <w:rPr>
          <w:rFonts w:asciiTheme="minorHAnsi" w:hAnsiTheme="minorHAnsi" w:cs="Arial"/>
        </w:rPr>
        <w:t>en 20</w:t>
      </w:r>
      <w:r w:rsidR="002C247C" w:rsidRPr="008026B2">
        <w:rPr>
          <w:rFonts w:asciiTheme="minorHAnsi" w:hAnsiTheme="minorHAnsi" w:cs="Arial"/>
        </w:rPr>
        <w:t>2</w:t>
      </w:r>
      <w:r w:rsidR="00921C63" w:rsidRPr="008026B2">
        <w:rPr>
          <w:rFonts w:asciiTheme="minorHAnsi" w:hAnsiTheme="minorHAnsi" w:cs="Arial"/>
        </w:rPr>
        <w:t>1</w:t>
      </w:r>
      <w:r w:rsidR="002C0B0C" w:rsidRPr="008026B2">
        <w:rPr>
          <w:rFonts w:asciiTheme="minorHAnsi" w:hAnsiTheme="minorHAnsi" w:cs="Arial"/>
        </w:rPr>
        <w:t xml:space="preserve">, caracterizada por </w:t>
      </w:r>
      <w:r w:rsidR="00192589" w:rsidRPr="008026B2">
        <w:rPr>
          <w:rFonts w:asciiTheme="minorHAnsi" w:hAnsiTheme="minorHAnsi" w:cs="Arial"/>
        </w:rPr>
        <w:t>políticas de incrementos salariales dirigidos a sostener e incrementar el poder adquisitivo de los salarios</w:t>
      </w:r>
      <w:r w:rsidR="00DA1EFE" w:rsidRPr="008026B2">
        <w:rPr>
          <w:rFonts w:asciiTheme="minorHAnsi" w:hAnsiTheme="minorHAnsi" w:cs="Arial"/>
        </w:rPr>
        <w:t xml:space="preserve">, </w:t>
      </w:r>
      <w:r w:rsidR="00192589" w:rsidRPr="008026B2">
        <w:rPr>
          <w:rFonts w:asciiTheme="minorHAnsi" w:hAnsiTheme="minorHAnsi" w:cs="Arial"/>
        </w:rPr>
        <w:t>con resultados positivos en términos reales para el conjunto de las jurisdicciones</w:t>
      </w:r>
      <w:r w:rsidR="00135EB4" w:rsidRPr="008026B2">
        <w:rPr>
          <w:rFonts w:asciiTheme="minorHAnsi" w:hAnsiTheme="minorHAnsi" w:cs="Arial"/>
        </w:rPr>
        <w:t xml:space="preserve">. </w:t>
      </w:r>
      <w:r w:rsidR="00192589" w:rsidRPr="008026B2">
        <w:rPr>
          <w:rFonts w:asciiTheme="minorHAnsi" w:hAnsiTheme="minorHAnsi" w:cs="Arial"/>
        </w:rPr>
        <w:t>Sobre este efecto,</w:t>
      </w:r>
      <w:r w:rsidR="00135EB4" w:rsidRPr="008026B2">
        <w:rPr>
          <w:rFonts w:asciiTheme="minorHAnsi" w:hAnsiTheme="minorHAnsi" w:cs="Arial"/>
        </w:rPr>
        <w:t xml:space="preserve"> se agregaron</w:t>
      </w:r>
      <w:r w:rsidR="002C0B0C" w:rsidRPr="008026B2">
        <w:rPr>
          <w:rFonts w:asciiTheme="minorHAnsi" w:hAnsiTheme="minorHAnsi" w:cs="Arial"/>
        </w:rPr>
        <w:t xml:space="preserve"> las recomposiciones y mejoras </w:t>
      </w:r>
      <w:r w:rsidR="00135EB4" w:rsidRPr="008026B2">
        <w:rPr>
          <w:rFonts w:asciiTheme="minorHAnsi" w:hAnsiTheme="minorHAnsi" w:cs="Arial"/>
        </w:rPr>
        <w:t>otorg</w:t>
      </w:r>
      <w:r w:rsidR="002C0B0C" w:rsidRPr="008026B2">
        <w:rPr>
          <w:rFonts w:asciiTheme="minorHAnsi" w:hAnsiTheme="minorHAnsi" w:cs="Arial"/>
        </w:rPr>
        <w:t xml:space="preserve">adas </w:t>
      </w:r>
      <w:r w:rsidR="00135EB4" w:rsidRPr="008026B2">
        <w:rPr>
          <w:rFonts w:asciiTheme="minorHAnsi" w:hAnsiTheme="minorHAnsi" w:cs="Arial"/>
        </w:rPr>
        <w:t>a</w:t>
      </w:r>
      <w:r w:rsidR="002C0B0C" w:rsidRPr="008026B2">
        <w:rPr>
          <w:rFonts w:asciiTheme="minorHAnsi" w:hAnsiTheme="minorHAnsi" w:cs="Arial"/>
        </w:rPr>
        <w:t>l primer trimestre de 202</w:t>
      </w:r>
      <w:r w:rsidR="00192589" w:rsidRPr="008026B2">
        <w:rPr>
          <w:rFonts w:asciiTheme="minorHAnsi" w:hAnsiTheme="minorHAnsi" w:cs="Arial"/>
        </w:rPr>
        <w:t>2</w:t>
      </w:r>
      <w:r w:rsidR="00135EB4" w:rsidRPr="008026B2">
        <w:rPr>
          <w:rFonts w:asciiTheme="minorHAnsi" w:hAnsiTheme="minorHAnsi" w:cs="Arial"/>
        </w:rPr>
        <w:t xml:space="preserve">, que promediaron un </w:t>
      </w:r>
      <w:r w:rsidR="008026B2" w:rsidRPr="008026B2">
        <w:rPr>
          <w:rFonts w:asciiTheme="minorHAnsi" w:hAnsiTheme="minorHAnsi" w:cs="Arial"/>
        </w:rPr>
        <w:t>incremento</w:t>
      </w:r>
      <w:r w:rsidR="00135EB4" w:rsidRPr="008026B2">
        <w:rPr>
          <w:rFonts w:asciiTheme="minorHAnsi" w:hAnsiTheme="minorHAnsi" w:cs="Arial"/>
        </w:rPr>
        <w:t xml:space="preserve"> de </w:t>
      </w:r>
      <w:r w:rsidR="008026B2" w:rsidRPr="008026B2">
        <w:rPr>
          <w:rFonts w:asciiTheme="minorHAnsi" w:hAnsiTheme="minorHAnsi" w:cs="Arial"/>
        </w:rPr>
        <w:t>16</w:t>
      </w:r>
      <w:r w:rsidR="00135EB4" w:rsidRPr="008026B2">
        <w:rPr>
          <w:rFonts w:asciiTheme="minorHAnsi" w:hAnsiTheme="minorHAnsi" w:cs="Arial"/>
        </w:rPr>
        <w:t xml:space="preserve"> % sobre los niveles salariales de diciembre de 202</w:t>
      </w:r>
      <w:r w:rsidR="00192589" w:rsidRPr="008026B2">
        <w:rPr>
          <w:rFonts w:asciiTheme="minorHAnsi" w:hAnsiTheme="minorHAnsi" w:cs="Arial"/>
        </w:rPr>
        <w:t>1</w:t>
      </w:r>
      <w:r w:rsidRPr="008026B2">
        <w:rPr>
          <w:rFonts w:asciiTheme="minorHAnsi" w:hAnsiTheme="minorHAnsi" w:cs="Arial"/>
        </w:rPr>
        <w:t>.</w:t>
      </w:r>
    </w:p>
    <w:p w:rsidR="00EC0D93" w:rsidRPr="009C5013" w:rsidRDefault="00EC0D93" w:rsidP="00EC0D93">
      <w:pPr>
        <w:suppressAutoHyphens/>
        <w:jc w:val="both"/>
        <w:rPr>
          <w:rFonts w:asciiTheme="minorHAnsi" w:hAnsiTheme="minorHAnsi"/>
          <w:highlight w:val="yellow"/>
        </w:rPr>
      </w:pPr>
    </w:p>
    <w:p w:rsidR="00F133D6" w:rsidRPr="00F133D6" w:rsidRDefault="00F133D6" w:rsidP="00F133D6">
      <w:pPr>
        <w:suppressAutoHyphens/>
        <w:jc w:val="center"/>
        <w:rPr>
          <w:rFonts w:ascii="Calibri" w:hAnsi="Calibri"/>
        </w:rPr>
      </w:pPr>
      <w:r w:rsidRPr="00F133D6">
        <w:rPr>
          <w:rFonts w:ascii="Calibri" w:hAnsi="Calibri"/>
          <w:b/>
        </w:rPr>
        <w:t xml:space="preserve">Cuadro </w:t>
      </w:r>
      <w:r w:rsidR="00DA7565">
        <w:rPr>
          <w:rFonts w:ascii="Calibri" w:hAnsi="Calibri"/>
          <w:b/>
        </w:rPr>
        <w:t>3</w:t>
      </w:r>
      <w:r w:rsidRPr="00F133D6">
        <w:rPr>
          <w:rFonts w:ascii="Calibri" w:hAnsi="Calibri"/>
          <w:b/>
        </w:rPr>
        <w:t>.</w:t>
      </w:r>
      <w:r w:rsidRPr="00F133D6">
        <w:rPr>
          <w:rFonts w:ascii="Calibri" w:hAnsi="Calibri"/>
        </w:rPr>
        <w:t xml:space="preserve"> Gastos totales de la APNF</w:t>
      </w:r>
    </w:p>
    <w:p w:rsidR="007E4952" w:rsidRPr="00F133D6" w:rsidRDefault="007E4952" w:rsidP="007E4952">
      <w:pPr>
        <w:suppressAutoHyphens/>
        <w:jc w:val="center"/>
        <w:rPr>
          <w:rFonts w:asciiTheme="minorHAnsi" w:hAnsiTheme="minorHAnsi"/>
        </w:rPr>
      </w:pPr>
      <w:r>
        <w:rPr>
          <w:rFonts w:asciiTheme="minorHAnsi" w:hAnsiTheme="minorHAnsi"/>
        </w:rPr>
        <w:t>Comparativo I Trimestre 20</w:t>
      </w:r>
      <w:r w:rsidR="0035460E">
        <w:rPr>
          <w:rFonts w:asciiTheme="minorHAnsi" w:hAnsiTheme="minorHAnsi"/>
        </w:rPr>
        <w:t>2</w:t>
      </w:r>
      <w:r w:rsidR="00745967">
        <w:rPr>
          <w:rFonts w:asciiTheme="minorHAnsi" w:hAnsiTheme="minorHAnsi"/>
        </w:rPr>
        <w:t>2</w:t>
      </w:r>
      <w:r>
        <w:rPr>
          <w:rFonts w:asciiTheme="minorHAnsi" w:hAnsiTheme="minorHAnsi"/>
        </w:rPr>
        <w:t>-20</w:t>
      </w:r>
      <w:r w:rsidR="000314E2">
        <w:rPr>
          <w:rFonts w:asciiTheme="minorHAnsi" w:hAnsiTheme="minorHAnsi"/>
        </w:rPr>
        <w:t>2</w:t>
      </w:r>
      <w:r w:rsidR="00745967">
        <w:rPr>
          <w:rFonts w:asciiTheme="minorHAnsi" w:hAnsiTheme="minorHAnsi"/>
        </w:rPr>
        <w:t>1</w:t>
      </w:r>
    </w:p>
    <w:p w:rsidR="00F133D6" w:rsidRPr="00696972" w:rsidRDefault="00F133D6" w:rsidP="009D616A">
      <w:pPr>
        <w:suppressAutoHyphens/>
        <w:spacing w:after="120"/>
        <w:jc w:val="center"/>
        <w:rPr>
          <w:rFonts w:ascii="Calibri" w:hAnsi="Calibri"/>
        </w:rPr>
      </w:pPr>
      <w:r>
        <w:rPr>
          <w:rFonts w:ascii="Calibri" w:hAnsi="Calibri"/>
        </w:rPr>
        <w:t>E</w:t>
      </w:r>
      <w:r w:rsidRPr="00F133D6">
        <w:rPr>
          <w:rFonts w:ascii="Calibri" w:hAnsi="Calibri"/>
        </w:rPr>
        <w:t>n millones de pesos</w:t>
      </w:r>
    </w:p>
    <w:p w:rsidR="00142052" w:rsidRDefault="00E56A55" w:rsidP="007E4952">
      <w:pPr>
        <w:suppressAutoHyphens/>
        <w:jc w:val="center"/>
        <w:rPr>
          <w:rFonts w:ascii="Calibri" w:hAnsi="Calibri"/>
          <w:sz w:val="20"/>
          <w:szCs w:val="20"/>
        </w:rPr>
      </w:pPr>
      <w:r w:rsidRPr="00E56A55">
        <w:rPr>
          <w:noProof/>
          <w:lang w:val="es-AR" w:eastAsia="es-AR"/>
        </w:rPr>
        <w:drawing>
          <wp:inline distT="0" distB="0" distL="0" distR="0">
            <wp:extent cx="5400675" cy="3481653"/>
            <wp:effectExtent l="0" t="0" r="0" b="508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3481653"/>
                    </a:xfrm>
                    <a:prstGeom prst="rect">
                      <a:avLst/>
                    </a:prstGeom>
                    <a:noFill/>
                    <a:ln>
                      <a:noFill/>
                    </a:ln>
                  </pic:spPr>
                </pic:pic>
              </a:graphicData>
            </a:graphic>
          </wp:inline>
        </w:drawing>
      </w:r>
    </w:p>
    <w:p w:rsidR="00590089" w:rsidRPr="00DB5695" w:rsidRDefault="00590089" w:rsidP="00590089">
      <w:pPr>
        <w:suppressAutoHyphens/>
        <w:ind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DE65F9" w:rsidRDefault="00DE65F9" w:rsidP="00DE65F9">
      <w:pPr>
        <w:jc w:val="both"/>
        <w:rPr>
          <w:rFonts w:asciiTheme="minorHAnsi" w:hAnsiTheme="minorHAnsi"/>
        </w:rPr>
      </w:pPr>
    </w:p>
    <w:p w:rsidR="007654F9" w:rsidRPr="003F4466" w:rsidRDefault="007654F9" w:rsidP="007654F9">
      <w:pPr>
        <w:suppressAutoHyphens/>
        <w:jc w:val="both"/>
        <w:rPr>
          <w:rFonts w:asciiTheme="minorHAnsi" w:hAnsiTheme="minorHAnsi"/>
        </w:rPr>
      </w:pPr>
      <w:r w:rsidRPr="003F4466">
        <w:rPr>
          <w:rFonts w:asciiTheme="minorHAnsi" w:hAnsiTheme="minorHAnsi"/>
        </w:rPr>
        <w:t xml:space="preserve">Como consecuencia de la mejora salarial otorgada a los trabajadores activos los haberes jubilatorios también aumentaron, ocasionando un incremento del gasto de </w:t>
      </w:r>
      <w:r w:rsidR="003F4466" w:rsidRPr="003F4466">
        <w:rPr>
          <w:rFonts w:asciiTheme="minorHAnsi" w:hAnsiTheme="minorHAnsi"/>
        </w:rPr>
        <w:t>59,9</w:t>
      </w:r>
      <w:r w:rsidRPr="003F4466">
        <w:rPr>
          <w:rFonts w:asciiTheme="minorHAnsi" w:hAnsiTheme="minorHAnsi"/>
        </w:rPr>
        <w:t xml:space="preserve"> % en las Prestaciones a la Seguridad Social (jubilaciones y pensiones en aquellas </w:t>
      </w:r>
      <w:r w:rsidRPr="003F4466">
        <w:rPr>
          <w:rFonts w:asciiTheme="minorHAnsi" w:hAnsiTheme="minorHAnsi"/>
        </w:rPr>
        <w:lastRenderedPageBreak/>
        <w:t>provincias que conservan sus cajas previsionales</w:t>
      </w:r>
      <w:r w:rsidRPr="003F4466">
        <w:rPr>
          <w:rFonts w:asciiTheme="minorHAnsi" w:hAnsiTheme="minorHAnsi"/>
          <w:vertAlign w:val="superscript"/>
        </w:rPr>
        <w:footnoteReference w:id="3"/>
      </w:r>
      <w:r w:rsidRPr="003F4466">
        <w:rPr>
          <w:rFonts w:asciiTheme="minorHAnsi" w:hAnsiTheme="minorHAnsi"/>
        </w:rPr>
        <w:t xml:space="preserve">). Esta variación resulta ligeramente inferior al crecimiento comentado en la partida </w:t>
      </w:r>
      <w:r w:rsidR="003F4466" w:rsidRPr="003F4466">
        <w:rPr>
          <w:rFonts w:asciiTheme="minorHAnsi" w:hAnsiTheme="minorHAnsi"/>
        </w:rPr>
        <w:t>P</w:t>
      </w:r>
      <w:r w:rsidRPr="003F4466">
        <w:rPr>
          <w:rFonts w:asciiTheme="minorHAnsi" w:hAnsiTheme="minorHAnsi"/>
        </w:rPr>
        <w:t>ersonal, por efecto de la política salarial implementada por algunas jurisdicciones, consistente en mejoras complementarias a componentes no remunerativos del salario.</w:t>
      </w:r>
    </w:p>
    <w:p w:rsidR="007654F9" w:rsidRPr="003F4466" w:rsidRDefault="007654F9" w:rsidP="007654F9">
      <w:pPr>
        <w:suppressAutoHyphens/>
        <w:jc w:val="both"/>
        <w:rPr>
          <w:rFonts w:asciiTheme="minorHAnsi" w:hAnsiTheme="minorHAnsi" w:cs="Arial"/>
        </w:rPr>
      </w:pPr>
    </w:p>
    <w:p w:rsidR="007654F9" w:rsidRPr="003F4466" w:rsidRDefault="007654F9" w:rsidP="007654F9">
      <w:pPr>
        <w:suppressAutoHyphens/>
        <w:jc w:val="both"/>
        <w:rPr>
          <w:rFonts w:asciiTheme="minorHAnsi" w:hAnsiTheme="minorHAnsi"/>
        </w:rPr>
      </w:pPr>
      <w:r w:rsidRPr="003F4466">
        <w:rPr>
          <w:rFonts w:asciiTheme="minorHAnsi" w:hAnsiTheme="minorHAnsi"/>
        </w:rPr>
        <w:t>Por otra parte, los gastos por Transferencias Corrientes acumula</w:t>
      </w:r>
      <w:r w:rsidR="003F4466" w:rsidRPr="003F4466">
        <w:rPr>
          <w:rFonts w:asciiTheme="minorHAnsi" w:hAnsiTheme="minorHAnsi"/>
        </w:rPr>
        <w:t>ro</w:t>
      </w:r>
      <w:r w:rsidRPr="003F4466">
        <w:rPr>
          <w:rFonts w:asciiTheme="minorHAnsi" w:hAnsiTheme="minorHAnsi"/>
        </w:rPr>
        <w:t xml:space="preserve">n un incremento de </w:t>
      </w:r>
      <w:r w:rsidR="003F4466" w:rsidRPr="003F4466">
        <w:rPr>
          <w:rFonts w:asciiTheme="minorHAnsi" w:hAnsiTheme="minorHAnsi"/>
        </w:rPr>
        <w:t>6</w:t>
      </w:r>
      <w:r w:rsidRPr="003F4466">
        <w:rPr>
          <w:rFonts w:asciiTheme="minorHAnsi" w:hAnsiTheme="minorHAnsi"/>
        </w:rPr>
        <w:t>7,</w:t>
      </w:r>
      <w:r w:rsidR="00B409A2">
        <w:rPr>
          <w:rFonts w:asciiTheme="minorHAnsi" w:hAnsiTheme="minorHAnsi"/>
        </w:rPr>
        <w:t>5</w:t>
      </w:r>
      <w:r w:rsidRPr="003F4466">
        <w:rPr>
          <w:rFonts w:asciiTheme="minorHAnsi" w:hAnsiTheme="minorHAnsi"/>
        </w:rPr>
        <w:t xml:space="preserve"> %, siendo sus dos principales componentes, las transferencias destinadas al Sector Público y al Sector Privado, que </w:t>
      </w:r>
      <w:r w:rsidR="003F4466" w:rsidRPr="003F4466">
        <w:rPr>
          <w:rFonts w:asciiTheme="minorHAnsi" w:hAnsiTheme="minorHAnsi"/>
        </w:rPr>
        <w:t>aumentaron</w:t>
      </w:r>
      <w:r w:rsidRPr="003F4466">
        <w:rPr>
          <w:rFonts w:asciiTheme="minorHAnsi" w:hAnsiTheme="minorHAnsi"/>
        </w:rPr>
        <w:t xml:space="preserve"> a tasas interanuales de </w:t>
      </w:r>
      <w:r w:rsidR="003F4466" w:rsidRPr="003F4466">
        <w:rPr>
          <w:rFonts w:asciiTheme="minorHAnsi" w:hAnsiTheme="minorHAnsi"/>
        </w:rPr>
        <w:t>62,5</w:t>
      </w:r>
      <w:r w:rsidRPr="003F4466">
        <w:rPr>
          <w:rFonts w:asciiTheme="minorHAnsi" w:hAnsiTheme="minorHAnsi"/>
        </w:rPr>
        <w:t xml:space="preserve"> % y </w:t>
      </w:r>
      <w:r w:rsidR="000B6D14">
        <w:rPr>
          <w:rFonts w:asciiTheme="minorHAnsi" w:hAnsiTheme="minorHAnsi"/>
        </w:rPr>
        <w:t>78,4</w:t>
      </w:r>
      <w:r w:rsidRPr="003F4466">
        <w:rPr>
          <w:rFonts w:asciiTheme="minorHAnsi" w:hAnsiTheme="minorHAnsi"/>
        </w:rPr>
        <w:t xml:space="preserve"> % respectivamente. El crecimiento de las primeras responde principalmente al de las remesas a los municipios por participación de impuestos, que a su vez acompañan el aumento en la recaudación coparticipable tanto de origen nacional como provincial, y en algunas jurisdicciones el de las regalías. Por su parte las transferencias corrientes al Sector Privado incluyen subsidios a la enseñanza privada, planes sociales y pensiones a la vejez, entre los principales conceptos.</w:t>
      </w:r>
    </w:p>
    <w:p w:rsidR="007654F9" w:rsidRPr="003F4466" w:rsidRDefault="007654F9" w:rsidP="007654F9">
      <w:pPr>
        <w:suppressAutoHyphens/>
        <w:jc w:val="both"/>
        <w:rPr>
          <w:rFonts w:asciiTheme="minorHAnsi" w:hAnsiTheme="minorHAnsi"/>
        </w:rPr>
      </w:pPr>
    </w:p>
    <w:p w:rsidR="00DE65F9" w:rsidRPr="00640FF0" w:rsidRDefault="00EB5D98" w:rsidP="00DE65F9">
      <w:pPr>
        <w:jc w:val="both"/>
        <w:rPr>
          <w:rFonts w:asciiTheme="minorHAnsi" w:hAnsiTheme="minorHAnsi"/>
        </w:rPr>
      </w:pPr>
      <w:r w:rsidRPr="00640FF0">
        <w:rPr>
          <w:rFonts w:ascii="Calibri" w:hAnsi="Calibri"/>
        </w:rPr>
        <w:t>En cuanto a las rentas de la propiedad</w:t>
      </w:r>
      <w:r w:rsidR="00640FF0" w:rsidRPr="00640FF0">
        <w:rPr>
          <w:rFonts w:ascii="Calibri" w:hAnsi="Calibri"/>
        </w:rPr>
        <w:t>, se observa un incremento en términos comparativos de</w:t>
      </w:r>
      <w:r w:rsidRPr="00640FF0">
        <w:rPr>
          <w:rFonts w:ascii="Calibri" w:hAnsi="Calibri"/>
        </w:rPr>
        <w:t xml:space="preserve"> </w:t>
      </w:r>
      <w:r w:rsidR="00640FF0" w:rsidRPr="00640FF0">
        <w:rPr>
          <w:rFonts w:ascii="Calibri" w:hAnsi="Calibri"/>
        </w:rPr>
        <w:t>129,8</w:t>
      </w:r>
      <w:r w:rsidRPr="00640FF0">
        <w:rPr>
          <w:rFonts w:ascii="Calibri" w:hAnsi="Calibri"/>
        </w:rPr>
        <w:t xml:space="preserve"> % con respecto al mismo periodo del año anterior. De este modo, esta partida pasó a representar </w:t>
      </w:r>
      <w:r w:rsidR="00640FF0" w:rsidRPr="00640FF0">
        <w:rPr>
          <w:rFonts w:ascii="Calibri" w:hAnsi="Calibri"/>
        </w:rPr>
        <w:t>3</w:t>
      </w:r>
      <w:r w:rsidRPr="00640FF0">
        <w:rPr>
          <w:rFonts w:ascii="Calibri" w:hAnsi="Calibri"/>
        </w:rPr>
        <w:t>,6 % del total de erogaciones, al primer trimestre de 202</w:t>
      </w:r>
      <w:r w:rsidR="00640FF0" w:rsidRPr="00640FF0">
        <w:rPr>
          <w:rFonts w:ascii="Calibri" w:hAnsi="Calibri"/>
        </w:rPr>
        <w:t>2</w:t>
      </w:r>
      <w:r w:rsidRPr="00640FF0">
        <w:rPr>
          <w:rFonts w:ascii="Calibri" w:hAnsi="Calibri"/>
        </w:rPr>
        <w:t>.</w:t>
      </w:r>
    </w:p>
    <w:p w:rsidR="00DE65F9" w:rsidRPr="00745967" w:rsidRDefault="00DE65F9" w:rsidP="00DE65F9">
      <w:pPr>
        <w:jc w:val="both"/>
        <w:rPr>
          <w:rFonts w:asciiTheme="minorHAnsi" w:hAnsiTheme="minorHAnsi"/>
          <w:highlight w:val="yellow"/>
        </w:rPr>
      </w:pPr>
    </w:p>
    <w:p w:rsidR="00B65DE1" w:rsidRPr="00DB70B5" w:rsidRDefault="00B65DE1" w:rsidP="00B65DE1">
      <w:pPr>
        <w:jc w:val="both"/>
        <w:rPr>
          <w:rFonts w:ascii="Calibri" w:hAnsi="Calibri"/>
        </w:rPr>
      </w:pPr>
      <w:r w:rsidRPr="00DB70B5">
        <w:rPr>
          <w:rFonts w:ascii="Calibri" w:hAnsi="Calibri"/>
        </w:rPr>
        <w:t>La mayor parte de este incremento corresponde a los intereses de los Títulos Internacionales. A partir del primer trimestre 2020 muchas jurisdicciones iniciaron un proceso de renegociación de la deuda contraída en el mercado internacional de capitales. Esto motivó que durante este período de renegociación algunas provincias suspendieran sus pagos. Posteriormente, una vez logrado el acuerdo, la mayoría de las provincias comenzó a pagar intereses bajo las nuevas condiciones, aunque esta situación se verá reflejada avanzado el ejercicio 2021. Al comparar contra el primer trimestre de ese año s</w:t>
      </w:r>
      <w:r>
        <w:rPr>
          <w:rFonts w:ascii="Calibri" w:hAnsi="Calibri"/>
        </w:rPr>
        <w:t>e puede ver una gran diferencia.</w:t>
      </w:r>
    </w:p>
    <w:p w:rsidR="00B65DE1" w:rsidRPr="00BD42EF" w:rsidRDefault="00B65DE1" w:rsidP="00B65DE1">
      <w:pPr>
        <w:jc w:val="both"/>
        <w:rPr>
          <w:rFonts w:ascii="Calibri" w:hAnsi="Calibri"/>
        </w:rPr>
      </w:pPr>
    </w:p>
    <w:p w:rsidR="00B65DE1" w:rsidRPr="00BD42EF" w:rsidRDefault="00B65DE1" w:rsidP="00B65DE1">
      <w:pPr>
        <w:jc w:val="both"/>
        <w:rPr>
          <w:rFonts w:ascii="Calibri" w:hAnsi="Calibri"/>
        </w:rPr>
      </w:pPr>
      <w:r w:rsidRPr="00BD42EF">
        <w:rPr>
          <w:rFonts w:ascii="Calibri" w:hAnsi="Calibri"/>
        </w:rPr>
        <w:t>Por otro lado, hubo un incremento importante en el rubro Gobierno Nacional que involucra los pagos al Fondo de Garantía de Sustentabilidad (FGS) de ANSES del préstamo que recibieron las provincias en el marco de la devolución de los 15 puntos de masa coparticipable con destino a obligaciones previsionales nacionales.  El Decreto Nacional N° 458/21</w:t>
      </w:r>
      <w:r>
        <w:rPr>
          <w:rFonts w:ascii="Calibri" w:hAnsi="Calibri"/>
        </w:rPr>
        <w:t>,</w:t>
      </w:r>
      <w:r w:rsidRPr="00BD42EF">
        <w:rPr>
          <w:rFonts w:ascii="Calibri" w:hAnsi="Calibri"/>
        </w:rPr>
        <w:t xml:space="preserve"> enmarcado en la Ley Nacional N°27.574</w:t>
      </w:r>
      <w:r>
        <w:rPr>
          <w:rFonts w:ascii="Calibri" w:hAnsi="Calibri"/>
        </w:rPr>
        <w:t>,</w:t>
      </w:r>
      <w:r w:rsidRPr="00BD42EF">
        <w:rPr>
          <w:rFonts w:ascii="Calibri" w:hAnsi="Calibri"/>
        </w:rPr>
        <w:t xml:space="preserve"> establece la renegociación de los contratos de Mutuo, mediante la suscripción de acuerdos de refinanciación</w:t>
      </w:r>
      <w:r>
        <w:rPr>
          <w:rFonts w:ascii="Calibri" w:hAnsi="Calibri"/>
        </w:rPr>
        <w:t xml:space="preserve"> de </w:t>
      </w:r>
      <w:r w:rsidRPr="00BD42EF">
        <w:rPr>
          <w:rFonts w:ascii="Calibri" w:hAnsi="Calibri"/>
        </w:rPr>
        <w:t>la suma de las amortizaciones de principal y los intereses devengados proporcionales a la fecha de refinanciamiento de cada amortización correspondientes a los años 2020 y 2021</w:t>
      </w:r>
      <w:r>
        <w:rPr>
          <w:rFonts w:ascii="Calibri" w:hAnsi="Calibri"/>
        </w:rPr>
        <w:t xml:space="preserve"> por un plazo de 8 meses. Finalizado ese período se le da la opción a las Provincias de optar la </w:t>
      </w:r>
      <w:r w:rsidRPr="00BD42EF">
        <w:rPr>
          <w:rFonts w:ascii="Calibri" w:hAnsi="Calibri"/>
        </w:rPr>
        <w:t xml:space="preserve">Opción de Conversión de los acuerdos de refinanciación a un Bono </w:t>
      </w:r>
      <w:r>
        <w:rPr>
          <w:rFonts w:ascii="Calibri" w:hAnsi="Calibri"/>
        </w:rPr>
        <w:t>a marzo 2031. Sin embargo, l</w:t>
      </w:r>
      <w:r w:rsidRPr="00BD42EF">
        <w:rPr>
          <w:rFonts w:ascii="Calibri" w:hAnsi="Calibri"/>
        </w:rPr>
        <w:t>os intereses a devengar hasta el 15 de marzo de 2022 por la refinanciación (y posterior prórroga) de los préstamos 2016 y 2017 deberán pagarse en efectivo</w:t>
      </w:r>
      <w:r>
        <w:rPr>
          <w:rFonts w:ascii="Calibri" w:hAnsi="Calibri"/>
        </w:rPr>
        <w:t xml:space="preserve"> a una tasa de interés BADLAR Bancos Privados. El primer trimestre 2022 tiene incorporado estos pagos por eso la diferencia con igual período del año anterior.</w:t>
      </w:r>
    </w:p>
    <w:p w:rsidR="00B65DE1" w:rsidRPr="00745967" w:rsidRDefault="00B65DE1" w:rsidP="00B65DE1">
      <w:pPr>
        <w:suppressAutoHyphens/>
        <w:jc w:val="both"/>
        <w:rPr>
          <w:rFonts w:asciiTheme="minorHAnsi" w:hAnsiTheme="minorHAnsi"/>
          <w:highlight w:val="yellow"/>
        </w:rPr>
      </w:pPr>
    </w:p>
    <w:p w:rsidR="0076644C" w:rsidRDefault="0076644C" w:rsidP="009D616A">
      <w:pPr>
        <w:suppressAutoHyphens/>
        <w:spacing w:after="120"/>
        <w:jc w:val="center"/>
        <w:rPr>
          <w:rFonts w:asciiTheme="minorHAnsi" w:hAnsiTheme="minorHAnsi" w:cs="Arial"/>
        </w:rPr>
      </w:pPr>
      <w:r w:rsidRPr="002D05F0">
        <w:rPr>
          <w:rFonts w:asciiTheme="minorHAnsi" w:hAnsiTheme="minorHAnsi" w:cs="Arial"/>
          <w:b/>
        </w:rPr>
        <w:lastRenderedPageBreak/>
        <w:t xml:space="preserve">Gráfico </w:t>
      </w:r>
      <w:r w:rsidR="00DA7565">
        <w:rPr>
          <w:rFonts w:asciiTheme="minorHAnsi" w:hAnsiTheme="minorHAnsi" w:cs="Arial"/>
          <w:b/>
        </w:rPr>
        <w:t>2</w:t>
      </w:r>
      <w:r w:rsidRPr="002D05F0">
        <w:rPr>
          <w:rFonts w:asciiTheme="minorHAnsi" w:hAnsiTheme="minorHAnsi" w:cs="Arial"/>
        </w:rPr>
        <w:t xml:space="preserve">: Contribución de cada concepto en el incremento interanual de los gastos totales de la APNF. </w:t>
      </w:r>
      <w:r w:rsidR="00F702B8" w:rsidRPr="002D05F0">
        <w:rPr>
          <w:rFonts w:asciiTheme="minorHAnsi" w:hAnsiTheme="minorHAnsi" w:cs="Arial"/>
        </w:rPr>
        <w:t>I Tri</w:t>
      </w:r>
      <w:r w:rsidR="00361D4D" w:rsidRPr="002D05F0">
        <w:rPr>
          <w:rFonts w:asciiTheme="minorHAnsi" w:hAnsiTheme="minorHAnsi" w:cs="Arial"/>
        </w:rPr>
        <w:t>mestre</w:t>
      </w:r>
      <w:r w:rsidRPr="002D05F0">
        <w:rPr>
          <w:rFonts w:asciiTheme="minorHAnsi" w:hAnsiTheme="minorHAnsi" w:cs="Arial"/>
        </w:rPr>
        <w:t xml:space="preserve"> 20</w:t>
      </w:r>
      <w:r w:rsidR="0035460E">
        <w:rPr>
          <w:rFonts w:asciiTheme="minorHAnsi" w:hAnsiTheme="minorHAnsi" w:cs="Arial"/>
        </w:rPr>
        <w:t>2</w:t>
      </w:r>
      <w:r w:rsidR="00745967">
        <w:rPr>
          <w:rFonts w:asciiTheme="minorHAnsi" w:hAnsiTheme="minorHAnsi" w:cs="Arial"/>
        </w:rPr>
        <w:t>2</w:t>
      </w:r>
    </w:p>
    <w:p w:rsidR="005D1990" w:rsidRPr="009D616A" w:rsidRDefault="00E56A55" w:rsidP="005D1990">
      <w:pPr>
        <w:suppressAutoHyphens/>
        <w:jc w:val="center"/>
        <w:rPr>
          <w:rFonts w:asciiTheme="minorHAnsi" w:hAnsiTheme="minorHAnsi"/>
          <w:b/>
          <w:sz w:val="20"/>
          <w:szCs w:val="20"/>
        </w:rPr>
      </w:pPr>
      <w:r>
        <w:rPr>
          <w:rFonts w:asciiTheme="minorHAnsi" w:hAnsiTheme="minorHAnsi"/>
          <w:b/>
          <w:noProof/>
          <w:sz w:val="20"/>
          <w:szCs w:val="20"/>
          <w:lang w:val="es-AR" w:eastAsia="es-AR"/>
        </w:rPr>
        <w:drawing>
          <wp:inline distT="0" distB="0" distL="0" distR="0" wp14:anchorId="33523267">
            <wp:extent cx="5295600" cy="3463200"/>
            <wp:effectExtent l="19050" t="19050" r="19685" b="2349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95600" cy="3463200"/>
                    </a:xfrm>
                    <a:prstGeom prst="rect">
                      <a:avLst/>
                    </a:prstGeom>
                    <a:noFill/>
                    <a:ln w="19050">
                      <a:solidFill>
                        <a:schemeClr val="tx1"/>
                      </a:solidFill>
                    </a:ln>
                  </pic:spPr>
                </pic:pic>
              </a:graphicData>
            </a:graphic>
          </wp:inline>
        </w:drawing>
      </w:r>
    </w:p>
    <w:p w:rsidR="00590089" w:rsidRPr="00DB5695" w:rsidRDefault="00590089" w:rsidP="00DF2DE9">
      <w:pPr>
        <w:suppressAutoHyphens/>
        <w:ind w:left="142"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EC0D93" w:rsidRPr="003C1E4C" w:rsidRDefault="00EC0D93" w:rsidP="00EC0D93">
      <w:pPr>
        <w:jc w:val="both"/>
        <w:rPr>
          <w:rFonts w:asciiTheme="minorHAnsi" w:hAnsiTheme="minorHAnsi"/>
          <w:highlight w:val="yellow"/>
        </w:rPr>
      </w:pPr>
    </w:p>
    <w:p w:rsidR="00F361A2" w:rsidRPr="003F4466" w:rsidRDefault="00C0238D" w:rsidP="00EC0D93">
      <w:pPr>
        <w:suppressAutoHyphens/>
        <w:jc w:val="both"/>
        <w:rPr>
          <w:rFonts w:asciiTheme="minorHAnsi" w:hAnsiTheme="minorHAnsi"/>
        </w:rPr>
      </w:pPr>
      <w:r w:rsidRPr="003F4466">
        <w:rPr>
          <w:rFonts w:asciiTheme="minorHAnsi" w:hAnsiTheme="minorHAnsi"/>
        </w:rPr>
        <w:t xml:space="preserve">Por </w:t>
      </w:r>
      <w:r w:rsidR="007654F9" w:rsidRPr="003F4466">
        <w:rPr>
          <w:rFonts w:asciiTheme="minorHAnsi" w:hAnsiTheme="minorHAnsi"/>
        </w:rPr>
        <w:t>su</w:t>
      </w:r>
      <w:r w:rsidRPr="003F4466">
        <w:rPr>
          <w:rFonts w:asciiTheme="minorHAnsi" w:hAnsiTheme="minorHAnsi"/>
        </w:rPr>
        <w:t xml:space="preserve"> parte, l</w:t>
      </w:r>
      <w:r w:rsidR="00F361A2" w:rsidRPr="003F4466">
        <w:rPr>
          <w:rFonts w:asciiTheme="minorHAnsi" w:hAnsiTheme="minorHAnsi"/>
        </w:rPr>
        <w:t xml:space="preserve">os Gastos de Capital presentan </w:t>
      </w:r>
      <w:r w:rsidR="00AD282F" w:rsidRPr="003F4466">
        <w:rPr>
          <w:rFonts w:asciiTheme="minorHAnsi" w:hAnsiTheme="minorHAnsi"/>
        </w:rPr>
        <w:t xml:space="preserve">una </w:t>
      </w:r>
      <w:r w:rsidR="007654F9" w:rsidRPr="003F4466">
        <w:rPr>
          <w:rFonts w:asciiTheme="minorHAnsi" w:hAnsiTheme="minorHAnsi"/>
        </w:rPr>
        <w:t>recupera</w:t>
      </w:r>
      <w:r w:rsidR="00AD282F" w:rsidRPr="003F4466">
        <w:rPr>
          <w:rFonts w:asciiTheme="minorHAnsi" w:hAnsiTheme="minorHAnsi"/>
        </w:rPr>
        <w:t>ción nominal</w:t>
      </w:r>
      <w:r w:rsidR="00F361A2" w:rsidRPr="003F4466">
        <w:rPr>
          <w:rFonts w:asciiTheme="minorHAnsi" w:hAnsiTheme="minorHAnsi"/>
        </w:rPr>
        <w:t xml:space="preserve"> </w:t>
      </w:r>
      <w:r w:rsidR="00B16FA3" w:rsidRPr="003F4466">
        <w:rPr>
          <w:rFonts w:asciiTheme="minorHAnsi" w:hAnsiTheme="minorHAnsi"/>
        </w:rPr>
        <w:t xml:space="preserve">de </w:t>
      </w:r>
      <w:r w:rsidR="003F4466" w:rsidRPr="003F4466">
        <w:rPr>
          <w:rFonts w:asciiTheme="minorHAnsi" w:hAnsiTheme="minorHAnsi"/>
        </w:rPr>
        <w:t>71,</w:t>
      </w:r>
      <w:r w:rsidR="000B6D14">
        <w:rPr>
          <w:rFonts w:asciiTheme="minorHAnsi" w:hAnsiTheme="minorHAnsi"/>
        </w:rPr>
        <w:t>6</w:t>
      </w:r>
      <w:r w:rsidR="00F361A2" w:rsidRPr="003F4466">
        <w:rPr>
          <w:rFonts w:asciiTheme="minorHAnsi" w:hAnsiTheme="minorHAnsi"/>
        </w:rPr>
        <w:t xml:space="preserve"> %</w:t>
      </w:r>
      <w:r w:rsidR="00DD63FF" w:rsidRPr="003F4466">
        <w:rPr>
          <w:rFonts w:asciiTheme="minorHAnsi" w:hAnsiTheme="minorHAnsi"/>
        </w:rPr>
        <w:t>,</w:t>
      </w:r>
      <w:r w:rsidRPr="003F4466">
        <w:rPr>
          <w:rFonts w:asciiTheme="minorHAnsi" w:hAnsiTheme="minorHAnsi"/>
        </w:rPr>
        <w:t xml:space="preserve"> </w:t>
      </w:r>
      <w:r w:rsidR="003F4466" w:rsidRPr="003F4466">
        <w:rPr>
          <w:rFonts w:asciiTheme="minorHAnsi" w:hAnsiTheme="minorHAnsi"/>
        </w:rPr>
        <w:t>dando continuidad a</w:t>
      </w:r>
      <w:r w:rsidR="007654F9" w:rsidRPr="003F4466">
        <w:rPr>
          <w:rFonts w:asciiTheme="minorHAnsi" w:hAnsiTheme="minorHAnsi"/>
        </w:rPr>
        <w:t xml:space="preserve"> la reactivación </w:t>
      </w:r>
      <w:r w:rsidR="003F4466" w:rsidRPr="003F4466">
        <w:rPr>
          <w:rFonts w:asciiTheme="minorHAnsi" w:hAnsiTheme="minorHAnsi"/>
        </w:rPr>
        <w:t>de</w:t>
      </w:r>
      <w:r w:rsidR="007654F9" w:rsidRPr="003F4466">
        <w:rPr>
          <w:rFonts w:asciiTheme="minorHAnsi" w:hAnsiTheme="minorHAnsi"/>
        </w:rPr>
        <w:t xml:space="preserve"> los planes de obra pública a partir de 2021, </w:t>
      </w:r>
      <w:r w:rsidR="003F4466" w:rsidRPr="003F4466">
        <w:rPr>
          <w:rFonts w:asciiTheme="minorHAnsi" w:hAnsiTheme="minorHAnsi"/>
        </w:rPr>
        <w:t>tras</w:t>
      </w:r>
      <w:r w:rsidR="007654F9" w:rsidRPr="003F4466">
        <w:rPr>
          <w:rFonts w:asciiTheme="minorHAnsi" w:hAnsiTheme="minorHAnsi"/>
        </w:rPr>
        <w:t xml:space="preserve"> las restricciones establecidas sobre la </w:t>
      </w:r>
      <w:r w:rsidR="003F4466" w:rsidRPr="003F4466">
        <w:rPr>
          <w:rFonts w:asciiTheme="minorHAnsi" w:hAnsiTheme="minorHAnsi"/>
        </w:rPr>
        <w:t>actividad de la construcción durante el período de emergencia sanitaria</w:t>
      </w:r>
      <w:r w:rsidR="007654F9" w:rsidRPr="003F4466">
        <w:rPr>
          <w:rFonts w:asciiTheme="minorHAnsi" w:hAnsiTheme="minorHAnsi"/>
        </w:rPr>
        <w:t>. Así, mientras que el principal componente del gasto de capital -</w:t>
      </w:r>
      <w:r w:rsidR="00F361A2" w:rsidRPr="003F4466">
        <w:rPr>
          <w:rFonts w:asciiTheme="minorHAnsi" w:hAnsiTheme="minorHAnsi"/>
        </w:rPr>
        <w:t>la Inversión Real Directa</w:t>
      </w:r>
      <w:r w:rsidR="007654F9" w:rsidRPr="003F4466">
        <w:rPr>
          <w:rFonts w:asciiTheme="minorHAnsi" w:hAnsiTheme="minorHAnsi"/>
        </w:rPr>
        <w:t>- se incrementa 89,</w:t>
      </w:r>
      <w:r w:rsidR="000B6D14">
        <w:rPr>
          <w:rFonts w:asciiTheme="minorHAnsi" w:hAnsiTheme="minorHAnsi"/>
        </w:rPr>
        <w:t>3</w:t>
      </w:r>
      <w:r w:rsidR="00F361A2" w:rsidRPr="003F4466">
        <w:rPr>
          <w:rFonts w:asciiTheme="minorHAnsi" w:hAnsiTheme="minorHAnsi"/>
        </w:rPr>
        <w:t xml:space="preserve"> %</w:t>
      </w:r>
      <w:r w:rsidR="007654F9" w:rsidRPr="003F4466">
        <w:rPr>
          <w:rFonts w:asciiTheme="minorHAnsi" w:hAnsiTheme="minorHAnsi"/>
        </w:rPr>
        <w:t>, las Transferencias de Capital crecen otro</w:t>
      </w:r>
      <w:r w:rsidRPr="003F4466">
        <w:rPr>
          <w:rFonts w:asciiTheme="minorHAnsi" w:hAnsiTheme="minorHAnsi"/>
        </w:rPr>
        <w:t xml:space="preserve"> </w:t>
      </w:r>
      <w:r w:rsidR="003F4466" w:rsidRPr="003F4466">
        <w:rPr>
          <w:rFonts w:asciiTheme="minorHAnsi" w:hAnsiTheme="minorHAnsi"/>
        </w:rPr>
        <w:t>68,1</w:t>
      </w:r>
      <w:r w:rsidRPr="003F4466">
        <w:rPr>
          <w:rFonts w:asciiTheme="minorHAnsi" w:hAnsiTheme="minorHAnsi"/>
        </w:rPr>
        <w:t xml:space="preserve"> %</w:t>
      </w:r>
      <w:r w:rsidR="00AD282F" w:rsidRPr="003F4466">
        <w:rPr>
          <w:rFonts w:asciiTheme="minorHAnsi" w:hAnsiTheme="minorHAnsi"/>
        </w:rPr>
        <w:t xml:space="preserve">, </w:t>
      </w:r>
      <w:r w:rsidR="007654F9" w:rsidRPr="003F4466">
        <w:rPr>
          <w:rFonts w:asciiTheme="minorHAnsi" w:hAnsiTheme="minorHAnsi"/>
        </w:rPr>
        <w:t>y</w:t>
      </w:r>
      <w:r w:rsidR="00AD282F" w:rsidRPr="003F4466">
        <w:rPr>
          <w:rFonts w:asciiTheme="minorHAnsi" w:hAnsiTheme="minorHAnsi"/>
        </w:rPr>
        <w:t xml:space="preserve"> la</w:t>
      </w:r>
      <w:r w:rsidR="00F361A2" w:rsidRPr="003F4466">
        <w:rPr>
          <w:rFonts w:asciiTheme="minorHAnsi" w:hAnsiTheme="minorHAnsi"/>
        </w:rPr>
        <w:t xml:space="preserve"> Inversión Financiera </w:t>
      </w:r>
      <w:r w:rsidR="003F4466" w:rsidRPr="003F4466">
        <w:rPr>
          <w:rFonts w:asciiTheme="minorHAnsi" w:hAnsiTheme="minorHAnsi"/>
        </w:rPr>
        <w:t>17,9</w:t>
      </w:r>
      <w:r w:rsidR="00AD282F" w:rsidRPr="003F4466">
        <w:rPr>
          <w:rFonts w:asciiTheme="minorHAnsi" w:hAnsiTheme="minorHAnsi"/>
        </w:rPr>
        <w:t xml:space="preserve"> %</w:t>
      </w:r>
      <w:r w:rsidR="00F361A2" w:rsidRPr="003F4466">
        <w:rPr>
          <w:rFonts w:asciiTheme="minorHAnsi" w:hAnsiTheme="minorHAnsi"/>
        </w:rPr>
        <w:t>.</w:t>
      </w:r>
    </w:p>
    <w:p w:rsidR="00F361A2" w:rsidRPr="003F4466" w:rsidRDefault="00F361A2" w:rsidP="00F361A2">
      <w:pPr>
        <w:suppressAutoHyphens/>
        <w:jc w:val="both"/>
        <w:rPr>
          <w:rFonts w:asciiTheme="minorHAnsi" w:hAnsiTheme="minorHAnsi"/>
        </w:rPr>
      </w:pPr>
    </w:p>
    <w:p w:rsidR="00DE65F9" w:rsidRPr="003F4466" w:rsidRDefault="00DE65F9" w:rsidP="00DE65F9">
      <w:pPr>
        <w:suppressAutoHyphens/>
        <w:jc w:val="both"/>
        <w:rPr>
          <w:rFonts w:asciiTheme="minorHAnsi" w:hAnsiTheme="minorHAnsi"/>
        </w:rPr>
      </w:pPr>
      <w:r w:rsidRPr="003F4466">
        <w:rPr>
          <w:rFonts w:asciiTheme="minorHAnsi" w:hAnsiTheme="minorHAnsi"/>
        </w:rPr>
        <w:t>El Gráfico 3 muestra la estructura del gasto</w:t>
      </w:r>
      <w:r w:rsidR="007654F9" w:rsidRPr="003F4466">
        <w:rPr>
          <w:rFonts w:asciiTheme="minorHAnsi" w:hAnsiTheme="minorHAnsi"/>
        </w:rPr>
        <w:t xml:space="preserve"> según su clasificación económica y por objeto</w:t>
      </w:r>
      <w:r w:rsidRPr="003F4466">
        <w:rPr>
          <w:rFonts w:asciiTheme="minorHAnsi" w:hAnsiTheme="minorHAnsi"/>
        </w:rPr>
        <w:t xml:space="preserve">, </w:t>
      </w:r>
      <w:r w:rsidR="007654F9" w:rsidRPr="003F4466">
        <w:rPr>
          <w:rFonts w:asciiTheme="minorHAnsi" w:hAnsiTheme="minorHAnsi"/>
        </w:rPr>
        <w:t>poniendo de relieve</w:t>
      </w:r>
      <w:r w:rsidRPr="003F4466">
        <w:rPr>
          <w:rFonts w:asciiTheme="minorHAnsi" w:hAnsiTheme="minorHAnsi"/>
        </w:rPr>
        <w:t xml:space="preserve"> la </w:t>
      </w:r>
      <w:r w:rsidR="007654F9" w:rsidRPr="003F4466">
        <w:rPr>
          <w:rFonts w:asciiTheme="minorHAnsi" w:hAnsiTheme="minorHAnsi"/>
        </w:rPr>
        <w:t>magnitud</w:t>
      </w:r>
      <w:r w:rsidRPr="003F4466">
        <w:rPr>
          <w:rFonts w:asciiTheme="minorHAnsi" w:hAnsiTheme="minorHAnsi"/>
        </w:rPr>
        <w:t xml:space="preserve"> de los egresos en Personal (</w:t>
      </w:r>
      <w:r w:rsidR="003F4466" w:rsidRPr="003F4466">
        <w:rPr>
          <w:rFonts w:asciiTheme="minorHAnsi" w:hAnsiTheme="minorHAnsi"/>
        </w:rPr>
        <w:t>45</w:t>
      </w:r>
      <w:r w:rsidR="000B6D14">
        <w:rPr>
          <w:rFonts w:asciiTheme="minorHAnsi" w:hAnsiTheme="minorHAnsi"/>
        </w:rPr>
        <w:t>,</w:t>
      </w:r>
      <w:r w:rsidR="003F4466" w:rsidRPr="003F4466">
        <w:rPr>
          <w:rFonts w:asciiTheme="minorHAnsi" w:hAnsiTheme="minorHAnsi"/>
        </w:rPr>
        <w:t>8</w:t>
      </w:r>
      <w:r w:rsidRPr="003F4466">
        <w:rPr>
          <w:rFonts w:asciiTheme="minorHAnsi" w:hAnsiTheme="minorHAnsi"/>
        </w:rPr>
        <w:t xml:space="preserve"> %), que </w:t>
      </w:r>
      <w:r w:rsidR="003F4466" w:rsidRPr="003F4466">
        <w:rPr>
          <w:rFonts w:asciiTheme="minorHAnsi" w:hAnsiTheme="minorHAnsi"/>
        </w:rPr>
        <w:t>prácticamente</w:t>
      </w:r>
      <w:r w:rsidRPr="003F4466">
        <w:rPr>
          <w:rFonts w:asciiTheme="minorHAnsi" w:hAnsiTheme="minorHAnsi"/>
        </w:rPr>
        <w:t xml:space="preserve"> duplican al siguiente concepto, las Transferencias Corrientes (</w:t>
      </w:r>
      <w:r w:rsidR="007078C4" w:rsidRPr="003F4466">
        <w:rPr>
          <w:rFonts w:asciiTheme="minorHAnsi" w:hAnsiTheme="minorHAnsi"/>
        </w:rPr>
        <w:t>22,</w:t>
      </w:r>
      <w:r w:rsidR="003F4466" w:rsidRPr="003F4466">
        <w:rPr>
          <w:rFonts w:asciiTheme="minorHAnsi" w:hAnsiTheme="minorHAnsi"/>
        </w:rPr>
        <w:t>8</w:t>
      </w:r>
      <w:r w:rsidRPr="003F4466">
        <w:rPr>
          <w:rFonts w:asciiTheme="minorHAnsi" w:hAnsiTheme="minorHAnsi"/>
        </w:rPr>
        <w:t xml:space="preserve"> %)</w:t>
      </w:r>
      <w:r w:rsidR="002647C9" w:rsidRPr="003F4466">
        <w:rPr>
          <w:rFonts w:asciiTheme="minorHAnsi" w:hAnsiTheme="minorHAnsi"/>
        </w:rPr>
        <w:t xml:space="preserve">, en las cuales se </w:t>
      </w:r>
      <w:r w:rsidR="007078C4" w:rsidRPr="003F4466">
        <w:rPr>
          <w:rFonts w:asciiTheme="minorHAnsi" w:hAnsiTheme="minorHAnsi"/>
        </w:rPr>
        <w:t>hallan comprendidas</w:t>
      </w:r>
      <w:r w:rsidR="002647C9" w:rsidRPr="003F4466">
        <w:rPr>
          <w:rFonts w:asciiTheme="minorHAnsi" w:hAnsiTheme="minorHAnsi"/>
        </w:rPr>
        <w:t xml:space="preserve"> las transferencias </w:t>
      </w:r>
      <w:r w:rsidR="007078C4" w:rsidRPr="003F4466">
        <w:rPr>
          <w:rFonts w:asciiTheme="minorHAnsi" w:hAnsiTheme="minorHAnsi"/>
        </w:rPr>
        <w:t>por coparticipación de recursos</w:t>
      </w:r>
      <w:r w:rsidR="002647C9" w:rsidRPr="003F4466">
        <w:rPr>
          <w:rFonts w:asciiTheme="minorHAnsi" w:hAnsiTheme="minorHAnsi"/>
        </w:rPr>
        <w:t xml:space="preserve"> a los Municipios</w:t>
      </w:r>
      <w:r w:rsidRPr="003F4466">
        <w:rPr>
          <w:rFonts w:asciiTheme="minorHAnsi" w:hAnsiTheme="minorHAnsi"/>
        </w:rPr>
        <w:t>.</w:t>
      </w:r>
    </w:p>
    <w:p w:rsidR="00DE65F9" w:rsidRPr="003F4466" w:rsidRDefault="00DE65F9" w:rsidP="00DE65F9">
      <w:pPr>
        <w:suppressAutoHyphens/>
        <w:jc w:val="both"/>
        <w:rPr>
          <w:rFonts w:asciiTheme="minorHAnsi" w:hAnsiTheme="minorHAnsi"/>
        </w:rPr>
      </w:pPr>
    </w:p>
    <w:p w:rsidR="000B5E01" w:rsidRPr="003F4466" w:rsidRDefault="00DE65F9" w:rsidP="00DE65F9">
      <w:pPr>
        <w:suppressAutoHyphens/>
        <w:jc w:val="both"/>
        <w:rPr>
          <w:rFonts w:asciiTheme="minorHAnsi" w:hAnsiTheme="minorHAnsi"/>
        </w:rPr>
      </w:pPr>
      <w:r w:rsidRPr="003F4466">
        <w:rPr>
          <w:rFonts w:asciiTheme="minorHAnsi" w:hAnsiTheme="minorHAnsi"/>
        </w:rPr>
        <w:t xml:space="preserve">Las Prestaciones a la Seguridad Social </w:t>
      </w:r>
      <w:r w:rsidR="00AD282F" w:rsidRPr="003F4466">
        <w:rPr>
          <w:rFonts w:asciiTheme="minorHAnsi" w:hAnsiTheme="minorHAnsi"/>
        </w:rPr>
        <w:t>absorbieron</w:t>
      </w:r>
      <w:r w:rsidRPr="003F4466">
        <w:rPr>
          <w:rFonts w:asciiTheme="minorHAnsi" w:hAnsiTheme="minorHAnsi"/>
        </w:rPr>
        <w:t xml:space="preserve"> </w:t>
      </w:r>
      <w:r w:rsidR="000B5E01" w:rsidRPr="003F4466">
        <w:rPr>
          <w:rFonts w:asciiTheme="minorHAnsi" w:hAnsiTheme="minorHAnsi"/>
        </w:rPr>
        <w:t xml:space="preserve">por su parte </w:t>
      </w:r>
      <w:r w:rsidRPr="003F4466">
        <w:rPr>
          <w:rFonts w:asciiTheme="minorHAnsi" w:hAnsiTheme="minorHAnsi"/>
        </w:rPr>
        <w:t xml:space="preserve">el </w:t>
      </w:r>
      <w:r w:rsidR="007078C4" w:rsidRPr="003F4466">
        <w:rPr>
          <w:rFonts w:asciiTheme="minorHAnsi" w:hAnsiTheme="minorHAnsi"/>
        </w:rPr>
        <w:t>13,</w:t>
      </w:r>
      <w:r w:rsidR="003F4466" w:rsidRPr="003F4466">
        <w:rPr>
          <w:rFonts w:asciiTheme="minorHAnsi" w:hAnsiTheme="minorHAnsi"/>
        </w:rPr>
        <w:t>1</w:t>
      </w:r>
      <w:r w:rsidRPr="003F4466">
        <w:rPr>
          <w:rFonts w:asciiTheme="minorHAnsi" w:hAnsiTheme="minorHAnsi"/>
        </w:rPr>
        <w:t xml:space="preserve"> %</w:t>
      </w:r>
      <w:r w:rsidR="00AD282F" w:rsidRPr="003F4466">
        <w:rPr>
          <w:rFonts w:asciiTheme="minorHAnsi" w:hAnsiTheme="minorHAnsi"/>
        </w:rPr>
        <w:t xml:space="preserve"> de las erogaciones totales</w:t>
      </w:r>
      <w:r w:rsidRPr="003F4466">
        <w:rPr>
          <w:rFonts w:asciiTheme="minorHAnsi" w:hAnsiTheme="minorHAnsi"/>
        </w:rPr>
        <w:t xml:space="preserve">, lo que significa que </w:t>
      </w:r>
      <w:r w:rsidR="003F4466" w:rsidRPr="003F4466">
        <w:rPr>
          <w:rFonts w:asciiTheme="minorHAnsi" w:hAnsiTheme="minorHAnsi"/>
        </w:rPr>
        <w:t>58,9</w:t>
      </w:r>
      <w:r w:rsidRPr="003F4466">
        <w:rPr>
          <w:rFonts w:asciiTheme="minorHAnsi" w:hAnsiTheme="minorHAnsi"/>
        </w:rPr>
        <w:t xml:space="preserve"> % del gasto se aplica a la remuneración del personal activo y pasivo del conjunto de las jurisdicciones. </w:t>
      </w:r>
      <w:r w:rsidR="000B5E01" w:rsidRPr="003F4466">
        <w:rPr>
          <w:rFonts w:asciiTheme="minorHAnsi" w:hAnsiTheme="minorHAnsi"/>
        </w:rPr>
        <w:t xml:space="preserve">Este porcentaje </w:t>
      </w:r>
      <w:r w:rsidR="003F4466">
        <w:rPr>
          <w:rFonts w:asciiTheme="minorHAnsi" w:hAnsiTheme="minorHAnsi"/>
        </w:rPr>
        <w:t>mantiene su tendencia a una menor participación en el gasto total</w:t>
      </w:r>
      <w:r w:rsidR="007078C4" w:rsidRPr="003F4466">
        <w:rPr>
          <w:rFonts w:asciiTheme="minorHAnsi" w:hAnsiTheme="minorHAnsi"/>
        </w:rPr>
        <w:t>,</w:t>
      </w:r>
      <w:r w:rsidR="000B5E01" w:rsidRPr="003F4466">
        <w:rPr>
          <w:rFonts w:asciiTheme="minorHAnsi" w:hAnsiTheme="minorHAnsi"/>
        </w:rPr>
        <w:t xml:space="preserve"> por la referida </w:t>
      </w:r>
      <w:r w:rsidR="007078C4" w:rsidRPr="003F4466">
        <w:rPr>
          <w:rFonts w:asciiTheme="minorHAnsi" w:hAnsiTheme="minorHAnsi"/>
        </w:rPr>
        <w:t>recuperación</w:t>
      </w:r>
      <w:r w:rsidR="000B5E01" w:rsidRPr="003F4466">
        <w:rPr>
          <w:rFonts w:asciiTheme="minorHAnsi" w:hAnsiTheme="minorHAnsi"/>
        </w:rPr>
        <w:t xml:space="preserve"> en términos absolutos y relativos de las erogaciones de capital.</w:t>
      </w:r>
    </w:p>
    <w:p w:rsidR="000B5E01" w:rsidRPr="003F4466" w:rsidRDefault="000B5E01" w:rsidP="00DE65F9">
      <w:pPr>
        <w:suppressAutoHyphens/>
        <w:jc w:val="both"/>
        <w:rPr>
          <w:rFonts w:asciiTheme="minorHAnsi" w:hAnsiTheme="minorHAnsi"/>
        </w:rPr>
      </w:pPr>
    </w:p>
    <w:p w:rsidR="00DE65F9" w:rsidRPr="003F4466" w:rsidRDefault="00DE65F9" w:rsidP="00DE65F9">
      <w:pPr>
        <w:suppressAutoHyphens/>
        <w:jc w:val="both"/>
        <w:rPr>
          <w:rFonts w:asciiTheme="minorHAnsi" w:hAnsiTheme="minorHAnsi"/>
        </w:rPr>
      </w:pPr>
      <w:r w:rsidRPr="003F4466">
        <w:rPr>
          <w:rFonts w:asciiTheme="minorHAnsi" w:hAnsiTheme="minorHAnsi"/>
        </w:rPr>
        <w:t>A continuación</w:t>
      </w:r>
      <w:r w:rsidR="00DF2DE9" w:rsidRPr="003F4466">
        <w:rPr>
          <w:rFonts w:asciiTheme="minorHAnsi" w:hAnsiTheme="minorHAnsi"/>
        </w:rPr>
        <w:t>,</w:t>
      </w:r>
      <w:r w:rsidRPr="003F4466">
        <w:rPr>
          <w:rFonts w:asciiTheme="minorHAnsi" w:hAnsiTheme="minorHAnsi"/>
        </w:rPr>
        <w:t xml:space="preserve"> y en orden decreciente se </w:t>
      </w:r>
      <w:r w:rsidR="00DB4B82" w:rsidRPr="003F4466">
        <w:rPr>
          <w:rFonts w:asciiTheme="minorHAnsi" w:hAnsiTheme="minorHAnsi"/>
        </w:rPr>
        <w:t>computan</w:t>
      </w:r>
      <w:r w:rsidRPr="003F4466">
        <w:rPr>
          <w:rFonts w:asciiTheme="minorHAnsi" w:hAnsiTheme="minorHAnsi"/>
        </w:rPr>
        <w:t xml:space="preserve"> los gastos en Bienes de Consumo y Servicios (</w:t>
      </w:r>
      <w:r w:rsidR="003F4466" w:rsidRPr="003F4466">
        <w:rPr>
          <w:rFonts w:asciiTheme="minorHAnsi" w:hAnsiTheme="minorHAnsi"/>
        </w:rPr>
        <w:t>7,0</w:t>
      </w:r>
      <w:r w:rsidRPr="003F4466">
        <w:rPr>
          <w:rFonts w:asciiTheme="minorHAnsi" w:hAnsiTheme="minorHAnsi"/>
        </w:rPr>
        <w:t xml:space="preserve"> % en conjunto) y la Inversión Real Directa (</w:t>
      </w:r>
      <w:r w:rsidR="003F4466" w:rsidRPr="003F4466">
        <w:rPr>
          <w:rFonts w:asciiTheme="minorHAnsi" w:hAnsiTheme="minorHAnsi"/>
        </w:rPr>
        <w:t>5,3</w:t>
      </w:r>
      <w:r w:rsidRPr="003F4466">
        <w:rPr>
          <w:rFonts w:asciiTheme="minorHAnsi" w:hAnsiTheme="minorHAnsi"/>
        </w:rPr>
        <w:t xml:space="preserve"> %), distribuyéndose el </w:t>
      </w:r>
      <w:r w:rsidR="00DB4B82" w:rsidRPr="003F4466">
        <w:rPr>
          <w:rFonts w:asciiTheme="minorHAnsi" w:hAnsiTheme="minorHAnsi"/>
        </w:rPr>
        <w:t xml:space="preserve">remanente de </w:t>
      </w:r>
      <w:r w:rsidR="000B5E01" w:rsidRPr="003F4466">
        <w:rPr>
          <w:rFonts w:asciiTheme="minorHAnsi" w:hAnsiTheme="minorHAnsi"/>
        </w:rPr>
        <w:t>6</w:t>
      </w:r>
      <w:r w:rsidRPr="003F4466">
        <w:rPr>
          <w:rFonts w:asciiTheme="minorHAnsi" w:hAnsiTheme="minorHAnsi"/>
        </w:rPr>
        <w:t>,</w:t>
      </w:r>
      <w:r w:rsidR="003F4466" w:rsidRPr="003F4466">
        <w:rPr>
          <w:rFonts w:asciiTheme="minorHAnsi" w:hAnsiTheme="minorHAnsi"/>
        </w:rPr>
        <w:t>0</w:t>
      </w:r>
      <w:r w:rsidRPr="003F4466">
        <w:rPr>
          <w:rFonts w:asciiTheme="minorHAnsi" w:hAnsiTheme="minorHAnsi"/>
        </w:rPr>
        <w:t xml:space="preserve"> % entre </w:t>
      </w:r>
      <w:r w:rsidR="00B059D0">
        <w:rPr>
          <w:rFonts w:asciiTheme="minorHAnsi" w:hAnsiTheme="minorHAnsi"/>
        </w:rPr>
        <w:t xml:space="preserve">el pago de </w:t>
      </w:r>
      <w:r w:rsidRPr="003F4466">
        <w:rPr>
          <w:rFonts w:asciiTheme="minorHAnsi" w:hAnsiTheme="minorHAnsi"/>
        </w:rPr>
        <w:t xml:space="preserve">Rentas de la Propiedad, </w:t>
      </w:r>
      <w:r w:rsidR="00B059D0">
        <w:rPr>
          <w:rFonts w:asciiTheme="minorHAnsi" w:hAnsiTheme="minorHAnsi"/>
        </w:rPr>
        <w:t xml:space="preserve">las </w:t>
      </w:r>
      <w:r w:rsidRPr="003F4466">
        <w:rPr>
          <w:rFonts w:asciiTheme="minorHAnsi" w:hAnsiTheme="minorHAnsi"/>
        </w:rPr>
        <w:t xml:space="preserve">Transferencias de Capital </w:t>
      </w:r>
      <w:r w:rsidR="00B059D0">
        <w:rPr>
          <w:rFonts w:asciiTheme="minorHAnsi" w:hAnsiTheme="minorHAnsi"/>
        </w:rPr>
        <w:t>y la</w:t>
      </w:r>
      <w:r w:rsidRPr="003F4466">
        <w:rPr>
          <w:rFonts w:asciiTheme="minorHAnsi" w:hAnsiTheme="minorHAnsi"/>
        </w:rPr>
        <w:t xml:space="preserve"> Inversión Financiera.</w:t>
      </w:r>
    </w:p>
    <w:p w:rsidR="004F0366" w:rsidRPr="003F4466" w:rsidRDefault="004F0366" w:rsidP="004F0366">
      <w:pPr>
        <w:suppressAutoHyphens/>
        <w:jc w:val="both"/>
        <w:rPr>
          <w:rFonts w:asciiTheme="minorHAnsi" w:hAnsiTheme="minorHAnsi"/>
        </w:rPr>
      </w:pPr>
    </w:p>
    <w:p w:rsidR="00D81103" w:rsidRDefault="00D81103" w:rsidP="00D81103">
      <w:pPr>
        <w:suppressAutoHyphens/>
        <w:jc w:val="center"/>
        <w:rPr>
          <w:rFonts w:asciiTheme="minorHAnsi" w:hAnsiTheme="minorHAnsi" w:cs="Arial"/>
        </w:rPr>
      </w:pPr>
      <w:r w:rsidRPr="00590089">
        <w:rPr>
          <w:rFonts w:asciiTheme="minorHAnsi" w:hAnsiTheme="minorHAnsi" w:cs="Arial"/>
          <w:b/>
        </w:rPr>
        <w:lastRenderedPageBreak/>
        <w:t xml:space="preserve">Gráfico </w:t>
      </w:r>
      <w:r>
        <w:rPr>
          <w:rFonts w:asciiTheme="minorHAnsi" w:hAnsiTheme="minorHAnsi" w:cs="Arial"/>
          <w:b/>
        </w:rPr>
        <w:t>3</w:t>
      </w:r>
      <w:r w:rsidRPr="00590089">
        <w:rPr>
          <w:rFonts w:asciiTheme="minorHAnsi" w:hAnsiTheme="minorHAnsi" w:cs="Arial"/>
          <w:b/>
        </w:rPr>
        <w:t>.</w:t>
      </w:r>
      <w:r>
        <w:rPr>
          <w:rFonts w:asciiTheme="minorHAnsi" w:hAnsiTheme="minorHAnsi" w:cs="Arial"/>
        </w:rPr>
        <w:t xml:space="preserve"> Estructura porcentual de los gastos</w:t>
      </w:r>
    </w:p>
    <w:p w:rsidR="00D81103" w:rsidRPr="002061F8" w:rsidRDefault="00D81103" w:rsidP="00D81103">
      <w:pPr>
        <w:suppressAutoHyphens/>
        <w:spacing w:after="120"/>
        <w:jc w:val="center"/>
        <w:rPr>
          <w:rFonts w:asciiTheme="minorHAnsi" w:hAnsiTheme="minorHAnsi" w:cs="Arial"/>
        </w:rPr>
      </w:pPr>
      <w:r>
        <w:rPr>
          <w:rFonts w:asciiTheme="minorHAnsi" w:hAnsiTheme="minorHAnsi" w:cs="Arial"/>
        </w:rPr>
        <w:t>I Trimestre 20</w:t>
      </w:r>
      <w:r w:rsidR="008828A1">
        <w:rPr>
          <w:rFonts w:asciiTheme="minorHAnsi" w:hAnsiTheme="minorHAnsi" w:cs="Arial"/>
        </w:rPr>
        <w:t>2</w:t>
      </w:r>
      <w:r w:rsidR="00745967">
        <w:rPr>
          <w:rFonts w:asciiTheme="minorHAnsi" w:hAnsiTheme="minorHAnsi" w:cs="Arial"/>
        </w:rPr>
        <w:t>2</w:t>
      </w:r>
    </w:p>
    <w:p w:rsidR="00D81103" w:rsidRDefault="00915C93" w:rsidP="00D81103">
      <w:pPr>
        <w:suppressAutoHyphens/>
        <w:jc w:val="center"/>
        <w:rPr>
          <w:rFonts w:ascii="Calibri" w:hAnsi="Calibri"/>
          <w:sz w:val="20"/>
          <w:szCs w:val="20"/>
        </w:rPr>
      </w:pPr>
      <w:r>
        <w:rPr>
          <w:rFonts w:ascii="Calibri" w:hAnsi="Calibri"/>
          <w:noProof/>
          <w:sz w:val="20"/>
          <w:szCs w:val="20"/>
          <w:lang w:val="es-AR" w:eastAsia="es-AR"/>
        </w:rPr>
        <w:drawing>
          <wp:inline distT="0" distB="0" distL="0" distR="0" wp14:anchorId="1997ED5A">
            <wp:extent cx="5418000" cy="3463200"/>
            <wp:effectExtent l="19050" t="19050" r="11430" b="2349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18000" cy="3463200"/>
                    </a:xfrm>
                    <a:prstGeom prst="rect">
                      <a:avLst/>
                    </a:prstGeom>
                    <a:noFill/>
                    <a:ln w="15875">
                      <a:solidFill>
                        <a:schemeClr val="tx1"/>
                      </a:solidFill>
                    </a:ln>
                  </pic:spPr>
                </pic:pic>
              </a:graphicData>
            </a:graphic>
          </wp:inline>
        </w:drawing>
      </w:r>
    </w:p>
    <w:p w:rsidR="00D81103" w:rsidRPr="00DB5695" w:rsidRDefault="00D81103" w:rsidP="00DE3F2C">
      <w:pPr>
        <w:suppressAutoHyphens/>
        <w:ind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D81103" w:rsidRDefault="00D81103" w:rsidP="00D81103">
      <w:pPr>
        <w:suppressAutoHyphens/>
        <w:jc w:val="both"/>
        <w:rPr>
          <w:rFonts w:asciiTheme="minorHAnsi" w:hAnsiTheme="minorHAnsi"/>
        </w:rPr>
      </w:pPr>
    </w:p>
    <w:p w:rsidR="003064F7" w:rsidRPr="0053209D" w:rsidRDefault="00B61E6C" w:rsidP="006F4161">
      <w:pPr>
        <w:pStyle w:val="TDC3"/>
      </w:pPr>
      <w:bookmarkStart w:id="28" w:name="_Toc456279050"/>
      <w:bookmarkStart w:id="29" w:name="_Toc500246800"/>
      <w:bookmarkStart w:id="30" w:name="_Toc532574491"/>
      <w:bookmarkStart w:id="31" w:name="_Toc532575881"/>
      <w:bookmarkStart w:id="32" w:name="_Toc532575908"/>
      <w:bookmarkStart w:id="33" w:name="_Toc532575988"/>
      <w:bookmarkStart w:id="34" w:name="_Toc532577653"/>
      <w:bookmarkStart w:id="35" w:name="_Toc532577772"/>
      <w:bookmarkStart w:id="36" w:name="_Toc532577964"/>
      <w:bookmarkStart w:id="37" w:name="_Toc3367374"/>
      <w:bookmarkStart w:id="38" w:name="_GoBack"/>
      <w:bookmarkEnd w:id="38"/>
      <w:r>
        <w:t>4</w:t>
      </w:r>
      <w:r w:rsidR="003A39FE">
        <w:t>.2.</w:t>
      </w:r>
      <w:r w:rsidR="0053209D">
        <w:t xml:space="preserve"> </w:t>
      </w:r>
      <w:r w:rsidR="003064F7" w:rsidRPr="0053209D">
        <w:t xml:space="preserve">Análisis del Gasto </w:t>
      </w:r>
      <w:r w:rsidR="007F4131">
        <w:t xml:space="preserve">según </w:t>
      </w:r>
      <w:r w:rsidR="003064F7" w:rsidRPr="0053209D">
        <w:t>Clasifica</w:t>
      </w:r>
      <w:r w:rsidR="007F4131">
        <w:t>ción</w:t>
      </w:r>
      <w:r w:rsidR="003064F7" w:rsidRPr="0053209D">
        <w:t xml:space="preserve"> por Finalidad y Función</w:t>
      </w:r>
      <w:bookmarkEnd w:id="28"/>
      <w:bookmarkEnd w:id="29"/>
      <w:bookmarkEnd w:id="30"/>
      <w:bookmarkEnd w:id="31"/>
      <w:bookmarkEnd w:id="32"/>
      <w:bookmarkEnd w:id="33"/>
      <w:bookmarkEnd w:id="34"/>
      <w:bookmarkEnd w:id="35"/>
      <w:bookmarkEnd w:id="36"/>
      <w:bookmarkEnd w:id="37"/>
    </w:p>
    <w:p w:rsidR="009C6738" w:rsidRPr="00696972" w:rsidRDefault="009C6738" w:rsidP="00696972">
      <w:pPr>
        <w:suppressAutoHyphens/>
        <w:jc w:val="both"/>
        <w:rPr>
          <w:rFonts w:asciiTheme="minorHAnsi" w:hAnsiTheme="minorHAnsi"/>
        </w:rPr>
      </w:pPr>
    </w:p>
    <w:p w:rsidR="0071731F" w:rsidRPr="00B059D0" w:rsidRDefault="00DB4B82" w:rsidP="004D39AC">
      <w:pPr>
        <w:suppressAutoHyphens/>
        <w:jc w:val="both"/>
        <w:rPr>
          <w:rFonts w:asciiTheme="minorHAnsi" w:hAnsiTheme="minorHAnsi"/>
        </w:rPr>
      </w:pPr>
      <w:r w:rsidRPr="00B059D0">
        <w:rPr>
          <w:rFonts w:asciiTheme="minorHAnsi" w:hAnsiTheme="minorHAnsi"/>
        </w:rPr>
        <w:t>La asignación</w:t>
      </w:r>
      <w:r w:rsidR="004D39AC" w:rsidRPr="00B059D0">
        <w:rPr>
          <w:rFonts w:asciiTheme="minorHAnsi" w:hAnsiTheme="minorHAnsi"/>
        </w:rPr>
        <w:t xml:space="preserve"> del gasto </w:t>
      </w:r>
      <w:r w:rsidR="00F416E7" w:rsidRPr="00B059D0">
        <w:rPr>
          <w:rFonts w:asciiTheme="minorHAnsi" w:hAnsiTheme="minorHAnsi"/>
        </w:rPr>
        <w:t>según su Finalidad y Función</w:t>
      </w:r>
      <w:r w:rsidRPr="00B059D0">
        <w:rPr>
          <w:rFonts w:asciiTheme="minorHAnsi" w:hAnsiTheme="minorHAnsi"/>
        </w:rPr>
        <w:t>, muestra que su componente principal,</w:t>
      </w:r>
      <w:r w:rsidR="00F416E7" w:rsidRPr="00B059D0">
        <w:rPr>
          <w:rFonts w:asciiTheme="minorHAnsi" w:hAnsiTheme="minorHAnsi"/>
        </w:rPr>
        <w:t xml:space="preserve"> </w:t>
      </w:r>
      <w:r w:rsidRPr="00B059D0">
        <w:rPr>
          <w:rFonts w:asciiTheme="minorHAnsi" w:hAnsiTheme="minorHAnsi"/>
        </w:rPr>
        <w:t>los</w:t>
      </w:r>
      <w:r w:rsidR="00EC2D9D" w:rsidRPr="00B059D0">
        <w:rPr>
          <w:rFonts w:asciiTheme="minorHAnsi" w:hAnsiTheme="minorHAnsi"/>
        </w:rPr>
        <w:t xml:space="preserve"> </w:t>
      </w:r>
      <w:r w:rsidR="004D39AC" w:rsidRPr="00B059D0">
        <w:rPr>
          <w:rFonts w:asciiTheme="minorHAnsi" w:hAnsiTheme="minorHAnsi"/>
        </w:rPr>
        <w:t>Servicios Sociales, se</w:t>
      </w:r>
      <w:r w:rsidR="00957404" w:rsidRPr="00B059D0">
        <w:rPr>
          <w:rFonts w:asciiTheme="minorHAnsi" w:hAnsiTheme="minorHAnsi"/>
        </w:rPr>
        <w:t xml:space="preserve"> </w:t>
      </w:r>
      <w:r w:rsidR="004D39AC" w:rsidRPr="00B059D0">
        <w:rPr>
          <w:rFonts w:asciiTheme="minorHAnsi" w:hAnsiTheme="minorHAnsi"/>
        </w:rPr>
        <w:t>increment</w:t>
      </w:r>
      <w:r w:rsidR="00EC2D9D" w:rsidRPr="00B059D0">
        <w:rPr>
          <w:rFonts w:asciiTheme="minorHAnsi" w:hAnsiTheme="minorHAnsi"/>
        </w:rPr>
        <w:t>ó</w:t>
      </w:r>
      <w:r w:rsidR="004D39AC" w:rsidRPr="00B059D0">
        <w:rPr>
          <w:rFonts w:asciiTheme="minorHAnsi" w:hAnsiTheme="minorHAnsi"/>
        </w:rPr>
        <w:t xml:space="preserve"> </w:t>
      </w:r>
      <w:r w:rsidR="00B059D0" w:rsidRPr="00B059D0">
        <w:rPr>
          <w:rFonts w:asciiTheme="minorHAnsi" w:hAnsiTheme="minorHAnsi"/>
        </w:rPr>
        <w:t>63,</w:t>
      </w:r>
      <w:r w:rsidR="000B6D14">
        <w:rPr>
          <w:rFonts w:asciiTheme="minorHAnsi" w:hAnsiTheme="minorHAnsi"/>
        </w:rPr>
        <w:t>3</w:t>
      </w:r>
      <w:r w:rsidR="002A390F" w:rsidRPr="00B059D0">
        <w:rPr>
          <w:rFonts w:asciiTheme="minorHAnsi" w:hAnsiTheme="minorHAnsi"/>
        </w:rPr>
        <w:t xml:space="preserve"> </w:t>
      </w:r>
      <w:r w:rsidR="004D39AC" w:rsidRPr="00B059D0">
        <w:rPr>
          <w:rFonts w:asciiTheme="minorHAnsi" w:hAnsiTheme="minorHAnsi"/>
        </w:rPr>
        <w:t xml:space="preserve">% </w:t>
      </w:r>
      <w:r w:rsidR="00DC0DFF" w:rsidRPr="00B059D0">
        <w:rPr>
          <w:rFonts w:asciiTheme="minorHAnsi" w:hAnsiTheme="minorHAnsi"/>
        </w:rPr>
        <w:t xml:space="preserve">al </w:t>
      </w:r>
      <w:r w:rsidR="00C73C7A" w:rsidRPr="00B059D0">
        <w:rPr>
          <w:rFonts w:asciiTheme="minorHAnsi" w:hAnsiTheme="minorHAnsi"/>
        </w:rPr>
        <w:t>primer</w:t>
      </w:r>
      <w:r w:rsidR="00CE08E7" w:rsidRPr="00B059D0">
        <w:rPr>
          <w:rFonts w:asciiTheme="minorHAnsi" w:hAnsiTheme="minorHAnsi"/>
        </w:rPr>
        <w:t xml:space="preserve"> </w:t>
      </w:r>
      <w:r w:rsidR="00DC0DFF" w:rsidRPr="00B059D0">
        <w:rPr>
          <w:rFonts w:asciiTheme="minorHAnsi" w:hAnsiTheme="minorHAnsi"/>
        </w:rPr>
        <w:t>tri</w:t>
      </w:r>
      <w:r w:rsidR="00CE08E7" w:rsidRPr="00B059D0">
        <w:rPr>
          <w:rFonts w:asciiTheme="minorHAnsi" w:hAnsiTheme="minorHAnsi"/>
        </w:rPr>
        <w:t>mestre</w:t>
      </w:r>
      <w:r w:rsidR="006331D7" w:rsidRPr="00B059D0">
        <w:rPr>
          <w:rFonts w:asciiTheme="minorHAnsi" w:hAnsiTheme="minorHAnsi"/>
        </w:rPr>
        <w:t xml:space="preserve"> de</w:t>
      </w:r>
      <w:r w:rsidR="00CE08E7" w:rsidRPr="00B059D0">
        <w:rPr>
          <w:rFonts w:asciiTheme="minorHAnsi" w:hAnsiTheme="minorHAnsi"/>
        </w:rPr>
        <w:t xml:space="preserve"> 20</w:t>
      </w:r>
      <w:r w:rsidR="000B5E01" w:rsidRPr="00B059D0">
        <w:rPr>
          <w:rFonts w:asciiTheme="minorHAnsi" w:hAnsiTheme="minorHAnsi"/>
        </w:rPr>
        <w:t>2</w:t>
      </w:r>
      <w:r w:rsidR="00B059D0" w:rsidRPr="00B059D0">
        <w:rPr>
          <w:rFonts w:asciiTheme="minorHAnsi" w:hAnsiTheme="minorHAnsi"/>
        </w:rPr>
        <w:t>2</w:t>
      </w:r>
      <w:r w:rsidRPr="00B059D0">
        <w:rPr>
          <w:rFonts w:asciiTheme="minorHAnsi" w:hAnsiTheme="minorHAnsi"/>
        </w:rPr>
        <w:t>,</w:t>
      </w:r>
      <w:r w:rsidR="00CE08E7" w:rsidRPr="00B059D0">
        <w:rPr>
          <w:rFonts w:asciiTheme="minorHAnsi" w:hAnsiTheme="minorHAnsi"/>
        </w:rPr>
        <w:t xml:space="preserve"> </w:t>
      </w:r>
      <w:r w:rsidR="004D39AC" w:rsidRPr="00B059D0">
        <w:rPr>
          <w:rFonts w:asciiTheme="minorHAnsi" w:hAnsiTheme="minorHAnsi"/>
        </w:rPr>
        <w:t xml:space="preserve">respecto </w:t>
      </w:r>
      <w:r w:rsidRPr="00B059D0">
        <w:rPr>
          <w:rFonts w:asciiTheme="minorHAnsi" w:hAnsiTheme="minorHAnsi"/>
        </w:rPr>
        <w:t>de</w:t>
      </w:r>
      <w:r w:rsidR="00CE08E7" w:rsidRPr="00B059D0">
        <w:rPr>
          <w:rFonts w:asciiTheme="minorHAnsi" w:hAnsiTheme="minorHAnsi"/>
        </w:rPr>
        <w:t xml:space="preserve"> igual</w:t>
      </w:r>
      <w:r w:rsidR="004D39AC" w:rsidRPr="00B059D0">
        <w:rPr>
          <w:rFonts w:asciiTheme="minorHAnsi" w:hAnsiTheme="minorHAnsi"/>
        </w:rPr>
        <w:t xml:space="preserve"> </w:t>
      </w:r>
      <w:r w:rsidR="00CE08E7" w:rsidRPr="00B059D0">
        <w:rPr>
          <w:rFonts w:asciiTheme="minorHAnsi" w:hAnsiTheme="minorHAnsi"/>
        </w:rPr>
        <w:t xml:space="preserve">período </w:t>
      </w:r>
      <w:r w:rsidR="006331D7" w:rsidRPr="00B059D0">
        <w:rPr>
          <w:rFonts w:asciiTheme="minorHAnsi" w:hAnsiTheme="minorHAnsi"/>
        </w:rPr>
        <w:t>del año anterior</w:t>
      </w:r>
      <w:r w:rsidRPr="00B059D0">
        <w:rPr>
          <w:rFonts w:asciiTheme="minorHAnsi" w:hAnsiTheme="minorHAnsi"/>
        </w:rPr>
        <w:t>. Esta finalidad</w:t>
      </w:r>
      <w:r w:rsidR="00FE5BE5" w:rsidRPr="00B059D0">
        <w:rPr>
          <w:rFonts w:asciiTheme="minorHAnsi" w:hAnsiTheme="minorHAnsi"/>
        </w:rPr>
        <w:t xml:space="preserve"> </w:t>
      </w:r>
      <w:r w:rsidR="000B5E01" w:rsidRPr="00B059D0">
        <w:rPr>
          <w:rFonts w:asciiTheme="minorHAnsi" w:hAnsiTheme="minorHAnsi"/>
        </w:rPr>
        <w:t>explicó</w:t>
      </w:r>
      <w:r w:rsidR="00FE5BE5" w:rsidRPr="00B059D0">
        <w:rPr>
          <w:rFonts w:asciiTheme="minorHAnsi" w:hAnsiTheme="minorHAnsi"/>
        </w:rPr>
        <w:t xml:space="preserve"> </w:t>
      </w:r>
      <w:r w:rsidRPr="00B059D0">
        <w:rPr>
          <w:rFonts w:asciiTheme="minorHAnsi" w:hAnsiTheme="minorHAnsi"/>
        </w:rPr>
        <w:t xml:space="preserve">a su vez </w:t>
      </w:r>
      <w:r w:rsidR="00B059D0" w:rsidRPr="00B059D0">
        <w:rPr>
          <w:rFonts w:asciiTheme="minorHAnsi" w:hAnsiTheme="minorHAnsi"/>
        </w:rPr>
        <w:t>un 55,2</w:t>
      </w:r>
      <w:r w:rsidR="000B5E01" w:rsidRPr="00B059D0">
        <w:rPr>
          <w:rFonts w:asciiTheme="minorHAnsi" w:hAnsiTheme="minorHAnsi"/>
        </w:rPr>
        <w:t xml:space="preserve"> </w:t>
      </w:r>
      <w:r w:rsidR="00FE5BE5" w:rsidRPr="00B059D0">
        <w:rPr>
          <w:rFonts w:asciiTheme="minorHAnsi" w:hAnsiTheme="minorHAnsi"/>
        </w:rPr>
        <w:t xml:space="preserve">% </w:t>
      </w:r>
      <w:r w:rsidR="000B5E01" w:rsidRPr="00B059D0">
        <w:rPr>
          <w:rFonts w:asciiTheme="minorHAnsi" w:hAnsiTheme="minorHAnsi"/>
        </w:rPr>
        <w:t>del incremento de los</w:t>
      </w:r>
      <w:r w:rsidR="00FE5BE5" w:rsidRPr="00B059D0">
        <w:rPr>
          <w:rFonts w:asciiTheme="minorHAnsi" w:hAnsiTheme="minorHAnsi"/>
        </w:rPr>
        <w:t xml:space="preserve"> egresos</w:t>
      </w:r>
      <w:r w:rsidR="004D39AC" w:rsidRPr="00B059D0">
        <w:rPr>
          <w:rFonts w:asciiTheme="minorHAnsi" w:hAnsiTheme="minorHAnsi"/>
        </w:rPr>
        <w:t xml:space="preserve">. La </w:t>
      </w:r>
      <w:r w:rsidR="0048694F" w:rsidRPr="00B059D0">
        <w:rPr>
          <w:rFonts w:asciiTheme="minorHAnsi" w:hAnsiTheme="minorHAnsi"/>
        </w:rPr>
        <w:t xml:space="preserve">desagregación </w:t>
      </w:r>
      <w:r w:rsidR="004D39AC" w:rsidRPr="00B059D0">
        <w:rPr>
          <w:rFonts w:asciiTheme="minorHAnsi" w:hAnsiTheme="minorHAnsi"/>
        </w:rPr>
        <w:t xml:space="preserve">de dicha finalidad </w:t>
      </w:r>
      <w:r w:rsidR="00192122" w:rsidRPr="00B059D0">
        <w:rPr>
          <w:rFonts w:asciiTheme="minorHAnsi" w:hAnsiTheme="minorHAnsi"/>
        </w:rPr>
        <w:t xml:space="preserve">(Cuadro 4) </w:t>
      </w:r>
      <w:r w:rsidR="0048694F" w:rsidRPr="00B059D0">
        <w:rPr>
          <w:rFonts w:asciiTheme="minorHAnsi" w:hAnsiTheme="minorHAnsi"/>
        </w:rPr>
        <w:t xml:space="preserve">muestra </w:t>
      </w:r>
      <w:r w:rsidR="00EC2D9D" w:rsidRPr="00B059D0">
        <w:rPr>
          <w:rFonts w:asciiTheme="minorHAnsi" w:hAnsiTheme="minorHAnsi"/>
        </w:rPr>
        <w:t xml:space="preserve">la </w:t>
      </w:r>
      <w:r w:rsidRPr="00B059D0">
        <w:rPr>
          <w:rFonts w:asciiTheme="minorHAnsi" w:hAnsiTheme="minorHAnsi"/>
        </w:rPr>
        <w:t>relev</w:t>
      </w:r>
      <w:r w:rsidR="00EC2D9D" w:rsidRPr="00B059D0">
        <w:rPr>
          <w:rFonts w:asciiTheme="minorHAnsi" w:hAnsiTheme="minorHAnsi"/>
        </w:rPr>
        <w:t xml:space="preserve">ancia en </w:t>
      </w:r>
      <w:r w:rsidR="000B5E01" w:rsidRPr="00B059D0">
        <w:rPr>
          <w:rFonts w:asciiTheme="minorHAnsi" w:hAnsiTheme="minorHAnsi"/>
        </w:rPr>
        <w:t>términos de</w:t>
      </w:r>
      <w:r w:rsidR="00EC2D9D" w:rsidRPr="00B059D0">
        <w:rPr>
          <w:rFonts w:asciiTheme="minorHAnsi" w:hAnsiTheme="minorHAnsi"/>
        </w:rPr>
        <w:t xml:space="preserve"> </w:t>
      </w:r>
      <w:r w:rsidR="006331D7" w:rsidRPr="00B059D0">
        <w:rPr>
          <w:rFonts w:asciiTheme="minorHAnsi" w:hAnsiTheme="minorHAnsi"/>
        </w:rPr>
        <w:t>magnitudes absolutas</w:t>
      </w:r>
      <w:r w:rsidR="004D39AC" w:rsidRPr="00B059D0">
        <w:rPr>
          <w:rFonts w:asciiTheme="minorHAnsi" w:hAnsiTheme="minorHAnsi"/>
        </w:rPr>
        <w:t xml:space="preserve"> de</w:t>
      </w:r>
      <w:r w:rsidR="006331D7" w:rsidRPr="00B059D0">
        <w:rPr>
          <w:rFonts w:asciiTheme="minorHAnsi" w:hAnsiTheme="minorHAnsi"/>
        </w:rPr>
        <w:t xml:space="preserve"> las funciones Educación</w:t>
      </w:r>
      <w:r w:rsidR="00EC2D9D" w:rsidRPr="00B059D0">
        <w:rPr>
          <w:rFonts w:asciiTheme="minorHAnsi" w:hAnsiTheme="minorHAnsi"/>
        </w:rPr>
        <w:t xml:space="preserve"> y </w:t>
      </w:r>
      <w:r w:rsidR="00511BCB" w:rsidRPr="00B059D0">
        <w:rPr>
          <w:rFonts w:asciiTheme="minorHAnsi" w:hAnsiTheme="minorHAnsi"/>
        </w:rPr>
        <w:t>C</w:t>
      </w:r>
      <w:r w:rsidR="00EC2D9D" w:rsidRPr="00B059D0">
        <w:rPr>
          <w:rFonts w:asciiTheme="minorHAnsi" w:hAnsiTheme="minorHAnsi"/>
        </w:rPr>
        <w:t>ultura</w:t>
      </w:r>
      <w:r w:rsidR="006331D7" w:rsidRPr="00B059D0">
        <w:rPr>
          <w:rFonts w:asciiTheme="minorHAnsi" w:hAnsiTheme="minorHAnsi"/>
        </w:rPr>
        <w:t xml:space="preserve"> y </w:t>
      </w:r>
      <w:r w:rsidR="00C73C7A" w:rsidRPr="00B059D0">
        <w:rPr>
          <w:rFonts w:asciiTheme="minorHAnsi" w:hAnsiTheme="minorHAnsi"/>
        </w:rPr>
        <w:t xml:space="preserve">Seguridad </w:t>
      </w:r>
      <w:r w:rsidR="006331D7" w:rsidRPr="00B059D0">
        <w:rPr>
          <w:rFonts w:asciiTheme="minorHAnsi" w:hAnsiTheme="minorHAnsi"/>
        </w:rPr>
        <w:t>S</w:t>
      </w:r>
      <w:r w:rsidR="00C73C7A" w:rsidRPr="00B059D0">
        <w:rPr>
          <w:rFonts w:asciiTheme="minorHAnsi" w:hAnsiTheme="minorHAnsi"/>
        </w:rPr>
        <w:t>ocial</w:t>
      </w:r>
      <w:r w:rsidR="004D39AC" w:rsidRPr="00B059D0">
        <w:rPr>
          <w:rFonts w:asciiTheme="minorHAnsi" w:hAnsiTheme="minorHAnsi"/>
        </w:rPr>
        <w:t xml:space="preserve">, </w:t>
      </w:r>
      <w:r w:rsidR="00760C2D" w:rsidRPr="00B059D0">
        <w:rPr>
          <w:rFonts w:asciiTheme="minorHAnsi" w:hAnsiTheme="minorHAnsi"/>
        </w:rPr>
        <w:t>con un incremento</w:t>
      </w:r>
      <w:r w:rsidR="004D39AC" w:rsidRPr="00B059D0">
        <w:rPr>
          <w:rFonts w:asciiTheme="minorHAnsi" w:hAnsiTheme="minorHAnsi"/>
        </w:rPr>
        <w:t xml:space="preserve"> interanu</w:t>
      </w:r>
      <w:r w:rsidR="00760C2D" w:rsidRPr="00B059D0">
        <w:rPr>
          <w:rFonts w:asciiTheme="minorHAnsi" w:hAnsiTheme="minorHAnsi"/>
        </w:rPr>
        <w:t>al</w:t>
      </w:r>
      <w:r w:rsidR="004D39AC" w:rsidRPr="00B059D0">
        <w:rPr>
          <w:rFonts w:asciiTheme="minorHAnsi" w:hAnsiTheme="minorHAnsi"/>
        </w:rPr>
        <w:t xml:space="preserve"> de </w:t>
      </w:r>
      <w:r w:rsidR="000B6D14">
        <w:rPr>
          <w:rFonts w:asciiTheme="minorHAnsi" w:hAnsiTheme="minorHAnsi"/>
        </w:rPr>
        <w:t>59,2</w:t>
      </w:r>
      <w:r w:rsidR="002A390F" w:rsidRPr="00B059D0">
        <w:rPr>
          <w:rFonts w:asciiTheme="minorHAnsi" w:hAnsiTheme="minorHAnsi"/>
        </w:rPr>
        <w:t xml:space="preserve"> </w:t>
      </w:r>
      <w:r w:rsidR="00760C2D" w:rsidRPr="00B059D0">
        <w:rPr>
          <w:rFonts w:asciiTheme="minorHAnsi" w:hAnsiTheme="minorHAnsi"/>
        </w:rPr>
        <w:t>%</w:t>
      </w:r>
      <w:r w:rsidR="006331D7" w:rsidRPr="00B059D0">
        <w:rPr>
          <w:rFonts w:asciiTheme="minorHAnsi" w:hAnsiTheme="minorHAnsi"/>
        </w:rPr>
        <w:t xml:space="preserve"> y </w:t>
      </w:r>
      <w:r w:rsidR="000B6D14">
        <w:rPr>
          <w:rFonts w:asciiTheme="minorHAnsi" w:hAnsiTheme="minorHAnsi"/>
        </w:rPr>
        <w:t>62,0</w:t>
      </w:r>
      <w:r w:rsidR="006331D7" w:rsidRPr="00B059D0">
        <w:rPr>
          <w:rFonts w:asciiTheme="minorHAnsi" w:hAnsiTheme="minorHAnsi"/>
        </w:rPr>
        <w:t xml:space="preserve"> %, respectivamente</w:t>
      </w:r>
      <w:r w:rsidR="00F416E7" w:rsidRPr="00B059D0">
        <w:rPr>
          <w:rFonts w:asciiTheme="minorHAnsi" w:hAnsiTheme="minorHAnsi"/>
        </w:rPr>
        <w:t>.</w:t>
      </w:r>
      <w:r w:rsidR="00FE5BE5" w:rsidRPr="00B059D0">
        <w:rPr>
          <w:rFonts w:asciiTheme="minorHAnsi" w:hAnsiTheme="minorHAnsi"/>
        </w:rPr>
        <w:t xml:space="preserve"> Esta última función tiene un comportamiento similar a</w:t>
      </w:r>
      <w:r w:rsidRPr="00B059D0">
        <w:rPr>
          <w:rFonts w:asciiTheme="minorHAnsi" w:hAnsiTheme="minorHAnsi"/>
        </w:rPr>
        <w:t>l del gasto en Personal, ya que su variación recoge</w:t>
      </w:r>
      <w:r w:rsidR="00FE5BE5" w:rsidRPr="00B059D0">
        <w:rPr>
          <w:rFonts w:asciiTheme="minorHAnsi" w:hAnsiTheme="minorHAnsi"/>
        </w:rPr>
        <w:t xml:space="preserve"> las mejoras salariales otorgadas, dado el régimen de movilidad jubilatoria de los haberes de los pasivos y de los beneficiarios de pensiones</w:t>
      </w:r>
      <w:r w:rsidR="008D6B4D" w:rsidRPr="00B059D0">
        <w:rPr>
          <w:rFonts w:asciiTheme="minorHAnsi" w:hAnsiTheme="minorHAnsi"/>
        </w:rPr>
        <w:t xml:space="preserve"> y demás</w:t>
      </w:r>
      <w:r w:rsidR="00FE5BE5" w:rsidRPr="00B059D0">
        <w:rPr>
          <w:rFonts w:asciiTheme="minorHAnsi" w:hAnsiTheme="minorHAnsi"/>
        </w:rPr>
        <w:t xml:space="preserve"> </w:t>
      </w:r>
      <w:r w:rsidR="008D6B4D" w:rsidRPr="00B059D0">
        <w:rPr>
          <w:rFonts w:asciiTheme="minorHAnsi" w:hAnsiTheme="minorHAnsi"/>
        </w:rPr>
        <w:t>prestacione</w:t>
      </w:r>
      <w:r w:rsidR="00FE5BE5" w:rsidRPr="00B059D0">
        <w:rPr>
          <w:rFonts w:asciiTheme="minorHAnsi" w:hAnsiTheme="minorHAnsi"/>
        </w:rPr>
        <w:t>s específic</w:t>
      </w:r>
      <w:r w:rsidR="008D6B4D" w:rsidRPr="00B059D0">
        <w:rPr>
          <w:rFonts w:asciiTheme="minorHAnsi" w:hAnsiTheme="minorHAnsi"/>
        </w:rPr>
        <w:t>a</w:t>
      </w:r>
      <w:r w:rsidR="00FE5BE5" w:rsidRPr="00B059D0">
        <w:rPr>
          <w:rFonts w:asciiTheme="minorHAnsi" w:hAnsiTheme="minorHAnsi"/>
        </w:rPr>
        <w:t>s otorgados a la clase pasiva</w:t>
      </w:r>
      <w:r w:rsidR="00FE5BE5" w:rsidRPr="00B059D0">
        <w:rPr>
          <w:rStyle w:val="Refdenotaalpie"/>
          <w:rFonts w:asciiTheme="minorHAnsi" w:hAnsiTheme="minorHAnsi"/>
        </w:rPr>
        <w:footnoteReference w:id="4"/>
      </w:r>
      <w:r w:rsidR="00FE5BE5" w:rsidRPr="00B059D0">
        <w:rPr>
          <w:rFonts w:asciiTheme="minorHAnsi" w:hAnsiTheme="minorHAnsi"/>
        </w:rPr>
        <w:t>.</w:t>
      </w:r>
    </w:p>
    <w:p w:rsidR="00192122" w:rsidRPr="00B059D0" w:rsidRDefault="00192122" w:rsidP="004D39AC">
      <w:pPr>
        <w:suppressAutoHyphens/>
        <w:jc w:val="both"/>
        <w:rPr>
          <w:rFonts w:asciiTheme="minorHAnsi" w:hAnsiTheme="minorHAnsi"/>
        </w:rPr>
      </w:pPr>
    </w:p>
    <w:p w:rsidR="000B5E01" w:rsidRPr="000B5E01" w:rsidRDefault="000B5E01" w:rsidP="000B5E01">
      <w:pPr>
        <w:suppressAutoHyphens/>
        <w:jc w:val="both"/>
        <w:rPr>
          <w:rFonts w:asciiTheme="minorHAnsi" w:hAnsiTheme="minorHAnsi"/>
        </w:rPr>
      </w:pPr>
      <w:r w:rsidRPr="00B059D0">
        <w:rPr>
          <w:rFonts w:asciiTheme="minorHAnsi" w:hAnsiTheme="minorHAnsi"/>
        </w:rPr>
        <w:t xml:space="preserve">El comportamiento de las funciones de Salud y Educación refleja una dinámica similar a la evolución de los aumentos salariales y se explica porque ambos servicios son intensivos en el empleo de la fuerza laboral. </w:t>
      </w:r>
      <w:r w:rsidR="008D6B4D" w:rsidRPr="00B059D0">
        <w:rPr>
          <w:rFonts w:asciiTheme="minorHAnsi" w:hAnsiTheme="minorHAnsi"/>
        </w:rPr>
        <w:t>Similar</w:t>
      </w:r>
      <w:r w:rsidRPr="00B059D0">
        <w:rPr>
          <w:rFonts w:asciiTheme="minorHAnsi" w:hAnsiTheme="minorHAnsi"/>
        </w:rPr>
        <w:t xml:space="preserve"> consideración corresponde para el incremento de Servicios de Seguridad (</w:t>
      </w:r>
      <w:r w:rsidR="00B059D0" w:rsidRPr="00B059D0">
        <w:rPr>
          <w:rFonts w:asciiTheme="minorHAnsi" w:hAnsiTheme="minorHAnsi"/>
        </w:rPr>
        <w:t>62,0</w:t>
      </w:r>
      <w:r w:rsidRPr="00B059D0">
        <w:rPr>
          <w:rFonts w:asciiTheme="minorHAnsi" w:hAnsiTheme="minorHAnsi"/>
        </w:rPr>
        <w:t xml:space="preserve"> %).</w:t>
      </w:r>
      <w:r w:rsidR="00836BE2" w:rsidRPr="00B059D0">
        <w:rPr>
          <w:rFonts w:asciiTheme="minorHAnsi" w:hAnsiTheme="minorHAnsi"/>
        </w:rPr>
        <w:t xml:space="preserve"> </w:t>
      </w:r>
      <w:r w:rsidR="00E81643" w:rsidRPr="00B059D0">
        <w:rPr>
          <w:rFonts w:asciiTheme="minorHAnsi" w:hAnsiTheme="minorHAnsi"/>
        </w:rPr>
        <w:t xml:space="preserve">Por su parte, la función </w:t>
      </w:r>
      <w:r w:rsidR="00836BE2" w:rsidRPr="00B059D0">
        <w:rPr>
          <w:rFonts w:asciiTheme="minorHAnsi" w:hAnsiTheme="minorHAnsi"/>
        </w:rPr>
        <w:t xml:space="preserve">Promoción </w:t>
      </w:r>
      <w:r w:rsidR="00E81643" w:rsidRPr="00B059D0">
        <w:rPr>
          <w:rFonts w:asciiTheme="minorHAnsi" w:hAnsiTheme="minorHAnsi"/>
        </w:rPr>
        <w:t xml:space="preserve">y Asistencia Social </w:t>
      </w:r>
      <w:r w:rsidR="008D6B4D" w:rsidRPr="00B059D0">
        <w:rPr>
          <w:rFonts w:asciiTheme="minorHAnsi" w:hAnsiTheme="minorHAnsi"/>
        </w:rPr>
        <w:t xml:space="preserve">observa un incremento </w:t>
      </w:r>
      <w:r w:rsidR="00B059D0" w:rsidRPr="00B059D0">
        <w:rPr>
          <w:rFonts w:asciiTheme="minorHAnsi" w:hAnsiTheme="minorHAnsi"/>
        </w:rPr>
        <w:t>de 69,2</w:t>
      </w:r>
      <w:r w:rsidR="008D6B4D" w:rsidRPr="00B059D0">
        <w:rPr>
          <w:rFonts w:asciiTheme="minorHAnsi" w:hAnsiTheme="minorHAnsi"/>
        </w:rPr>
        <w:t xml:space="preserve"> %</w:t>
      </w:r>
      <w:r w:rsidR="00B059D0" w:rsidRPr="00B059D0">
        <w:rPr>
          <w:rFonts w:asciiTheme="minorHAnsi" w:hAnsiTheme="minorHAnsi"/>
        </w:rPr>
        <w:t>, acorde a</w:t>
      </w:r>
      <w:r w:rsidR="008D6B4D" w:rsidRPr="00B059D0">
        <w:rPr>
          <w:rFonts w:asciiTheme="minorHAnsi" w:hAnsiTheme="minorHAnsi"/>
        </w:rPr>
        <w:t xml:space="preserve"> la media del gasto, </w:t>
      </w:r>
      <w:r w:rsidR="000B6D14">
        <w:rPr>
          <w:rFonts w:asciiTheme="minorHAnsi" w:hAnsiTheme="minorHAnsi"/>
        </w:rPr>
        <w:t>una vez absorbida</w:t>
      </w:r>
      <w:r w:rsidR="00B059D0" w:rsidRPr="00B059D0">
        <w:rPr>
          <w:rFonts w:asciiTheme="minorHAnsi" w:hAnsiTheme="minorHAnsi"/>
        </w:rPr>
        <w:t xml:space="preserve"> la dinámica</w:t>
      </w:r>
      <w:r w:rsidR="008D6B4D" w:rsidRPr="00B059D0">
        <w:rPr>
          <w:rFonts w:asciiTheme="minorHAnsi" w:hAnsiTheme="minorHAnsi"/>
        </w:rPr>
        <w:t xml:space="preserve"> </w:t>
      </w:r>
      <w:r w:rsidR="00C32492" w:rsidRPr="00B059D0">
        <w:rPr>
          <w:rFonts w:asciiTheme="minorHAnsi" w:hAnsiTheme="minorHAnsi"/>
        </w:rPr>
        <w:t xml:space="preserve">de </w:t>
      </w:r>
      <w:r w:rsidR="008D6B4D" w:rsidRPr="00B059D0">
        <w:rPr>
          <w:rFonts w:asciiTheme="minorHAnsi" w:hAnsiTheme="minorHAnsi"/>
        </w:rPr>
        <w:t>gestión de la emergencia sanitaria</w:t>
      </w:r>
      <w:r w:rsidR="00C32492" w:rsidRPr="00B059D0">
        <w:rPr>
          <w:rFonts w:asciiTheme="minorHAnsi" w:hAnsiTheme="minorHAnsi"/>
        </w:rPr>
        <w:t>.</w:t>
      </w:r>
    </w:p>
    <w:p w:rsidR="000B5E01" w:rsidRPr="003C1E4C" w:rsidRDefault="000B5E01" w:rsidP="000B5E01">
      <w:pPr>
        <w:suppressAutoHyphens/>
        <w:jc w:val="both"/>
        <w:rPr>
          <w:rFonts w:asciiTheme="minorHAnsi" w:hAnsiTheme="minorHAnsi"/>
          <w:highlight w:val="yellow"/>
        </w:rPr>
      </w:pPr>
    </w:p>
    <w:p w:rsidR="007E4952" w:rsidRDefault="00F133D6" w:rsidP="007E4952">
      <w:pPr>
        <w:suppressAutoHyphens/>
        <w:ind w:left="851" w:right="850"/>
        <w:jc w:val="center"/>
        <w:rPr>
          <w:rFonts w:asciiTheme="minorHAnsi" w:hAnsiTheme="minorHAnsi"/>
        </w:rPr>
      </w:pPr>
      <w:r w:rsidRPr="00F133D6">
        <w:rPr>
          <w:rFonts w:asciiTheme="minorHAnsi" w:hAnsiTheme="minorHAnsi"/>
          <w:b/>
        </w:rPr>
        <w:lastRenderedPageBreak/>
        <w:t xml:space="preserve">Cuadro </w:t>
      </w:r>
      <w:r w:rsidR="00DA7565">
        <w:rPr>
          <w:rFonts w:asciiTheme="minorHAnsi" w:hAnsiTheme="minorHAnsi"/>
          <w:b/>
        </w:rPr>
        <w:t>4</w:t>
      </w:r>
      <w:r w:rsidRPr="00F133D6">
        <w:rPr>
          <w:rFonts w:asciiTheme="minorHAnsi" w:hAnsiTheme="minorHAnsi"/>
          <w:b/>
        </w:rPr>
        <w:t>.</w:t>
      </w:r>
      <w:r w:rsidRPr="00F133D6">
        <w:rPr>
          <w:rFonts w:asciiTheme="minorHAnsi" w:hAnsiTheme="minorHAnsi"/>
        </w:rPr>
        <w:t xml:space="preserve"> Composi</w:t>
      </w:r>
      <w:r>
        <w:rPr>
          <w:rFonts w:asciiTheme="minorHAnsi" w:hAnsiTheme="minorHAnsi"/>
        </w:rPr>
        <w:t>ci</w:t>
      </w:r>
      <w:r w:rsidRPr="00F133D6">
        <w:rPr>
          <w:rFonts w:asciiTheme="minorHAnsi" w:hAnsiTheme="minorHAnsi"/>
        </w:rPr>
        <w:t>ón del Gasto Público de la APNF. Clasificación por Finalidad y Función base devengado</w:t>
      </w:r>
      <w:r>
        <w:rPr>
          <w:rFonts w:asciiTheme="minorHAnsi" w:hAnsiTheme="minorHAnsi"/>
        </w:rPr>
        <w:t>.</w:t>
      </w:r>
    </w:p>
    <w:p w:rsidR="007E4952" w:rsidRPr="00F133D6" w:rsidRDefault="007E4952" w:rsidP="007E4952">
      <w:pPr>
        <w:suppressAutoHyphens/>
        <w:jc w:val="center"/>
        <w:rPr>
          <w:rFonts w:asciiTheme="minorHAnsi" w:hAnsiTheme="minorHAnsi"/>
        </w:rPr>
      </w:pPr>
      <w:r>
        <w:rPr>
          <w:rFonts w:asciiTheme="minorHAnsi" w:hAnsiTheme="minorHAnsi"/>
        </w:rPr>
        <w:t>Comparativo I Trimestre 20</w:t>
      </w:r>
      <w:r w:rsidR="008828A1">
        <w:rPr>
          <w:rFonts w:asciiTheme="minorHAnsi" w:hAnsiTheme="minorHAnsi"/>
        </w:rPr>
        <w:t>2</w:t>
      </w:r>
      <w:r w:rsidR="00745967">
        <w:rPr>
          <w:rFonts w:asciiTheme="minorHAnsi" w:hAnsiTheme="minorHAnsi"/>
        </w:rPr>
        <w:t>2</w:t>
      </w:r>
      <w:r>
        <w:rPr>
          <w:rFonts w:asciiTheme="minorHAnsi" w:hAnsiTheme="minorHAnsi"/>
        </w:rPr>
        <w:t>-20</w:t>
      </w:r>
      <w:r w:rsidR="000314E2">
        <w:rPr>
          <w:rFonts w:asciiTheme="minorHAnsi" w:hAnsiTheme="minorHAnsi"/>
        </w:rPr>
        <w:t>2</w:t>
      </w:r>
      <w:r w:rsidR="00745967">
        <w:rPr>
          <w:rFonts w:asciiTheme="minorHAnsi" w:hAnsiTheme="minorHAnsi"/>
        </w:rPr>
        <w:t>1</w:t>
      </w:r>
    </w:p>
    <w:p w:rsidR="00F133D6" w:rsidRPr="00696972" w:rsidRDefault="00F133D6" w:rsidP="009D616A">
      <w:pPr>
        <w:suppressAutoHyphens/>
        <w:spacing w:after="120"/>
        <w:jc w:val="center"/>
        <w:rPr>
          <w:rFonts w:asciiTheme="minorHAnsi" w:hAnsiTheme="minorHAnsi"/>
        </w:rPr>
      </w:pPr>
      <w:r>
        <w:rPr>
          <w:rFonts w:asciiTheme="minorHAnsi" w:hAnsiTheme="minorHAnsi"/>
        </w:rPr>
        <w:t>En millones de pesos</w:t>
      </w:r>
    </w:p>
    <w:p w:rsidR="007912AD" w:rsidRDefault="00E56A55" w:rsidP="00FB3BFA">
      <w:pPr>
        <w:suppressAutoHyphens/>
        <w:jc w:val="center"/>
        <w:rPr>
          <w:rFonts w:asciiTheme="minorHAnsi" w:hAnsiTheme="minorHAnsi"/>
          <w:sz w:val="20"/>
          <w:szCs w:val="20"/>
        </w:rPr>
      </w:pPr>
      <w:r w:rsidRPr="00E56A55">
        <w:rPr>
          <w:noProof/>
          <w:lang w:val="es-AR" w:eastAsia="es-AR"/>
        </w:rPr>
        <w:drawing>
          <wp:inline distT="0" distB="0" distL="0" distR="0">
            <wp:extent cx="4886325" cy="2838450"/>
            <wp:effectExtent l="0" t="0" r="952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6325" cy="2838450"/>
                    </a:xfrm>
                    <a:prstGeom prst="rect">
                      <a:avLst/>
                    </a:prstGeom>
                    <a:noFill/>
                    <a:ln>
                      <a:noFill/>
                    </a:ln>
                  </pic:spPr>
                </pic:pic>
              </a:graphicData>
            </a:graphic>
          </wp:inline>
        </w:drawing>
      </w:r>
    </w:p>
    <w:p w:rsidR="00590089" w:rsidRPr="00DB5695" w:rsidRDefault="00590089" w:rsidP="00DE3F2C">
      <w:pPr>
        <w:suppressAutoHyphens/>
        <w:ind w:left="426"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696972" w:rsidRDefault="00696972" w:rsidP="004D39AC">
      <w:pPr>
        <w:suppressAutoHyphens/>
        <w:jc w:val="both"/>
        <w:rPr>
          <w:rFonts w:asciiTheme="minorHAnsi" w:hAnsiTheme="minorHAnsi"/>
        </w:rPr>
      </w:pPr>
    </w:p>
    <w:p w:rsidR="000A0B80" w:rsidRPr="005B0A11" w:rsidRDefault="00A0614B" w:rsidP="004D39AC">
      <w:pPr>
        <w:suppressAutoHyphens/>
        <w:jc w:val="both"/>
        <w:rPr>
          <w:rFonts w:asciiTheme="minorHAnsi" w:hAnsiTheme="minorHAnsi"/>
        </w:rPr>
      </w:pPr>
      <w:r w:rsidRPr="00B059D0">
        <w:rPr>
          <w:rFonts w:asciiTheme="minorHAnsi" w:hAnsiTheme="minorHAnsi"/>
        </w:rPr>
        <w:t>En cuanto a</w:t>
      </w:r>
      <w:r w:rsidR="004D39AC" w:rsidRPr="00B059D0">
        <w:rPr>
          <w:rFonts w:asciiTheme="minorHAnsi" w:hAnsiTheme="minorHAnsi"/>
        </w:rPr>
        <w:t xml:space="preserve"> la finalidad Administración Gubernamental</w:t>
      </w:r>
      <w:r w:rsidR="007626EF" w:rsidRPr="00B059D0">
        <w:rPr>
          <w:rFonts w:asciiTheme="minorHAnsi" w:hAnsiTheme="minorHAnsi"/>
        </w:rPr>
        <w:t xml:space="preserve">, </w:t>
      </w:r>
      <w:r w:rsidR="00B059D0" w:rsidRPr="00B059D0">
        <w:rPr>
          <w:rFonts w:asciiTheme="minorHAnsi" w:hAnsiTheme="minorHAnsi"/>
        </w:rPr>
        <w:t>su incre</w:t>
      </w:r>
      <w:r w:rsidR="007626EF" w:rsidRPr="00B059D0">
        <w:rPr>
          <w:rFonts w:asciiTheme="minorHAnsi" w:hAnsiTheme="minorHAnsi"/>
        </w:rPr>
        <w:t xml:space="preserve">mento interanual de </w:t>
      </w:r>
      <w:r w:rsidR="00B059D0" w:rsidRPr="00B059D0">
        <w:rPr>
          <w:rFonts w:asciiTheme="minorHAnsi" w:hAnsiTheme="minorHAnsi"/>
        </w:rPr>
        <w:t>70,7</w:t>
      </w:r>
      <w:r w:rsidR="00837B6B" w:rsidRPr="00B059D0">
        <w:rPr>
          <w:rFonts w:asciiTheme="minorHAnsi" w:hAnsiTheme="minorHAnsi"/>
        </w:rPr>
        <w:t xml:space="preserve"> </w:t>
      </w:r>
      <w:r w:rsidR="007626EF" w:rsidRPr="00B059D0">
        <w:rPr>
          <w:rFonts w:asciiTheme="minorHAnsi" w:hAnsiTheme="minorHAnsi"/>
        </w:rPr>
        <w:t>%</w:t>
      </w:r>
      <w:r w:rsidR="00B059D0" w:rsidRPr="00B059D0">
        <w:rPr>
          <w:rFonts w:asciiTheme="minorHAnsi" w:hAnsiTheme="minorHAnsi"/>
        </w:rPr>
        <w:t xml:space="preserve"> se</w:t>
      </w:r>
      <w:r w:rsidR="00837B6B" w:rsidRPr="00B059D0">
        <w:rPr>
          <w:rFonts w:asciiTheme="minorHAnsi" w:hAnsiTheme="minorHAnsi"/>
        </w:rPr>
        <w:t xml:space="preserve"> </w:t>
      </w:r>
      <w:r w:rsidR="008042E6" w:rsidRPr="00B059D0">
        <w:rPr>
          <w:rFonts w:asciiTheme="minorHAnsi" w:hAnsiTheme="minorHAnsi"/>
        </w:rPr>
        <w:t>explica</w:t>
      </w:r>
      <w:r w:rsidR="00837B6B" w:rsidRPr="00B059D0">
        <w:rPr>
          <w:rFonts w:asciiTheme="minorHAnsi" w:hAnsiTheme="minorHAnsi"/>
        </w:rPr>
        <w:t xml:space="preserve"> </w:t>
      </w:r>
      <w:r w:rsidR="003F21D6" w:rsidRPr="00B059D0">
        <w:rPr>
          <w:rFonts w:asciiTheme="minorHAnsi" w:hAnsiTheme="minorHAnsi"/>
        </w:rPr>
        <w:t xml:space="preserve">en buena </w:t>
      </w:r>
      <w:r w:rsidR="00B059D0" w:rsidRPr="00B059D0">
        <w:rPr>
          <w:rFonts w:asciiTheme="minorHAnsi" w:hAnsiTheme="minorHAnsi"/>
        </w:rPr>
        <w:t>proporción</w:t>
      </w:r>
      <w:r w:rsidR="003F21D6" w:rsidRPr="00B059D0">
        <w:rPr>
          <w:rFonts w:asciiTheme="minorHAnsi" w:hAnsiTheme="minorHAnsi"/>
        </w:rPr>
        <w:t xml:space="preserve"> </w:t>
      </w:r>
      <w:r w:rsidR="00837B6B" w:rsidRPr="00B059D0">
        <w:rPr>
          <w:rFonts w:asciiTheme="minorHAnsi" w:hAnsiTheme="minorHAnsi"/>
        </w:rPr>
        <w:t>por</w:t>
      </w:r>
      <w:r w:rsidRPr="00B059D0">
        <w:rPr>
          <w:rFonts w:asciiTheme="minorHAnsi" w:hAnsiTheme="minorHAnsi"/>
        </w:rPr>
        <w:t xml:space="preserve"> la función </w:t>
      </w:r>
      <w:r w:rsidR="00837B6B" w:rsidRPr="00B059D0">
        <w:rPr>
          <w:rFonts w:asciiTheme="minorHAnsi" w:hAnsiTheme="minorHAnsi"/>
        </w:rPr>
        <w:t>R</w:t>
      </w:r>
      <w:r w:rsidRPr="00B059D0">
        <w:rPr>
          <w:rFonts w:asciiTheme="minorHAnsi" w:hAnsiTheme="minorHAnsi"/>
        </w:rPr>
        <w:t xml:space="preserve">elaciones </w:t>
      </w:r>
      <w:r w:rsidR="00837B6B" w:rsidRPr="00B059D0">
        <w:rPr>
          <w:rFonts w:asciiTheme="minorHAnsi" w:hAnsiTheme="minorHAnsi"/>
        </w:rPr>
        <w:t>I</w:t>
      </w:r>
      <w:r w:rsidRPr="00B059D0">
        <w:rPr>
          <w:rFonts w:asciiTheme="minorHAnsi" w:hAnsiTheme="minorHAnsi"/>
        </w:rPr>
        <w:t>nteriores</w:t>
      </w:r>
      <w:r w:rsidR="0044374A" w:rsidRPr="00B059D0">
        <w:rPr>
          <w:rFonts w:asciiTheme="minorHAnsi" w:hAnsiTheme="minorHAnsi"/>
        </w:rPr>
        <w:t>,</w:t>
      </w:r>
      <w:r w:rsidR="0034047F" w:rsidRPr="00B059D0">
        <w:rPr>
          <w:rFonts w:asciiTheme="minorHAnsi" w:hAnsiTheme="minorHAnsi"/>
        </w:rPr>
        <w:t xml:space="preserve"> </w:t>
      </w:r>
      <w:r w:rsidR="00B059D0" w:rsidRPr="00B059D0">
        <w:rPr>
          <w:rFonts w:asciiTheme="minorHAnsi" w:hAnsiTheme="minorHAnsi"/>
        </w:rPr>
        <w:t>y su principal</w:t>
      </w:r>
      <w:r w:rsidR="0038309E" w:rsidRPr="00B059D0">
        <w:rPr>
          <w:rFonts w:asciiTheme="minorHAnsi" w:hAnsiTheme="minorHAnsi"/>
        </w:rPr>
        <w:t xml:space="preserve"> componente</w:t>
      </w:r>
      <w:r w:rsidR="00B059D0" w:rsidRPr="00B059D0">
        <w:rPr>
          <w:rFonts w:asciiTheme="minorHAnsi" w:hAnsiTheme="minorHAnsi"/>
        </w:rPr>
        <w:t>,</w:t>
      </w:r>
      <w:r w:rsidR="0038309E" w:rsidRPr="00B059D0">
        <w:rPr>
          <w:rFonts w:asciiTheme="minorHAnsi" w:hAnsiTheme="minorHAnsi"/>
        </w:rPr>
        <w:t xml:space="preserve"> </w:t>
      </w:r>
      <w:r w:rsidR="004D39AC" w:rsidRPr="00B059D0">
        <w:rPr>
          <w:rFonts w:asciiTheme="minorHAnsi" w:hAnsiTheme="minorHAnsi"/>
        </w:rPr>
        <w:t>las transferencias (coparticipación y subsidios) de las provinc</w:t>
      </w:r>
      <w:r w:rsidR="00760C2D" w:rsidRPr="00B059D0">
        <w:rPr>
          <w:rFonts w:asciiTheme="minorHAnsi" w:hAnsiTheme="minorHAnsi"/>
        </w:rPr>
        <w:t>ias a los municipios</w:t>
      </w:r>
      <w:r w:rsidR="007626EF" w:rsidRPr="00B059D0">
        <w:rPr>
          <w:rFonts w:asciiTheme="minorHAnsi" w:hAnsiTheme="minorHAnsi"/>
        </w:rPr>
        <w:t>.</w:t>
      </w:r>
      <w:r w:rsidR="007363D6" w:rsidRPr="00B059D0">
        <w:rPr>
          <w:rFonts w:asciiTheme="minorHAnsi" w:hAnsiTheme="minorHAnsi"/>
        </w:rPr>
        <w:t xml:space="preserve"> No obstante, se observan crecimientos en las </w:t>
      </w:r>
      <w:r w:rsidR="000A0B80" w:rsidRPr="00B059D0">
        <w:rPr>
          <w:rFonts w:asciiTheme="minorHAnsi" w:hAnsiTheme="minorHAnsi"/>
        </w:rPr>
        <w:t xml:space="preserve">restantes </w:t>
      </w:r>
      <w:r w:rsidR="007363D6" w:rsidRPr="00B059D0">
        <w:rPr>
          <w:rFonts w:asciiTheme="minorHAnsi" w:hAnsiTheme="minorHAnsi"/>
        </w:rPr>
        <w:t>funciones</w:t>
      </w:r>
      <w:r w:rsidR="000A0B80" w:rsidRPr="00B059D0">
        <w:rPr>
          <w:rFonts w:asciiTheme="minorHAnsi" w:hAnsiTheme="minorHAnsi"/>
        </w:rPr>
        <w:t xml:space="preserve"> que </w:t>
      </w:r>
      <w:r w:rsidR="003F21D6" w:rsidRPr="00B059D0">
        <w:rPr>
          <w:rFonts w:asciiTheme="minorHAnsi" w:hAnsiTheme="minorHAnsi"/>
        </w:rPr>
        <w:t>acompañan</w:t>
      </w:r>
      <w:r w:rsidR="000A0B80" w:rsidRPr="00B059D0">
        <w:rPr>
          <w:rFonts w:asciiTheme="minorHAnsi" w:hAnsiTheme="minorHAnsi"/>
        </w:rPr>
        <w:t xml:space="preserve"> básicamente los aumentos salariales logrados por los distintos regímenes </w:t>
      </w:r>
      <w:r w:rsidR="000A0B80" w:rsidRPr="005B0A11">
        <w:rPr>
          <w:rFonts w:asciiTheme="minorHAnsi" w:hAnsiTheme="minorHAnsi"/>
        </w:rPr>
        <w:t>escalafonarios.</w:t>
      </w:r>
    </w:p>
    <w:p w:rsidR="0038309E" w:rsidRPr="005B0A11" w:rsidRDefault="0038309E" w:rsidP="004D39AC">
      <w:pPr>
        <w:suppressAutoHyphens/>
        <w:jc w:val="both"/>
        <w:rPr>
          <w:rFonts w:asciiTheme="minorHAnsi" w:hAnsiTheme="minorHAnsi"/>
        </w:rPr>
      </w:pPr>
    </w:p>
    <w:p w:rsidR="004D39AC" w:rsidRPr="005B0A11" w:rsidRDefault="003F21D6" w:rsidP="004D39AC">
      <w:pPr>
        <w:suppressAutoHyphens/>
        <w:jc w:val="both"/>
        <w:rPr>
          <w:rFonts w:asciiTheme="minorHAnsi" w:hAnsiTheme="minorHAnsi"/>
          <w:b/>
        </w:rPr>
      </w:pPr>
      <w:r w:rsidRPr="005B0A11">
        <w:rPr>
          <w:rFonts w:asciiTheme="minorHAnsi" w:hAnsiTheme="minorHAnsi"/>
        </w:rPr>
        <w:t>Como se reseña en el párrafo correspondiente al concepto Rentas de la Propiedad</w:t>
      </w:r>
      <w:r w:rsidR="007626EF" w:rsidRPr="005B0A11">
        <w:rPr>
          <w:rFonts w:asciiTheme="minorHAnsi" w:hAnsiTheme="minorHAnsi"/>
        </w:rPr>
        <w:t>,</w:t>
      </w:r>
      <w:r w:rsidR="004D39AC" w:rsidRPr="005B0A11">
        <w:rPr>
          <w:rFonts w:asciiTheme="minorHAnsi" w:hAnsiTheme="minorHAnsi"/>
        </w:rPr>
        <w:t xml:space="preserve"> el gasto en D</w:t>
      </w:r>
      <w:r w:rsidR="00760C2D" w:rsidRPr="005B0A11">
        <w:rPr>
          <w:rFonts w:asciiTheme="minorHAnsi" w:hAnsiTheme="minorHAnsi"/>
        </w:rPr>
        <w:t xml:space="preserve">euda Pública </w:t>
      </w:r>
      <w:r w:rsidR="00217EF6" w:rsidRPr="005B0A11">
        <w:rPr>
          <w:rFonts w:asciiTheme="minorHAnsi" w:hAnsiTheme="minorHAnsi"/>
        </w:rPr>
        <w:t>se increment</w:t>
      </w:r>
      <w:r w:rsidRPr="005B0A11">
        <w:rPr>
          <w:rFonts w:asciiTheme="minorHAnsi" w:hAnsiTheme="minorHAnsi"/>
        </w:rPr>
        <w:t>ó</w:t>
      </w:r>
      <w:r w:rsidR="00760C2D" w:rsidRPr="005B0A11">
        <w:rPr>
          <w:rFonts w:asciiTheme="minorHAnsi" w:hAnsiTheme="minorHAnsi"/>
        </w:rPr>
        <w:t xml:space="preserve"> </w:t>
      </w:r>
      <w:r w:rsidR="00217EF6" w:rsidRPr="005B0A11">
        <w:rPr>
          <w:rFonts w:asciiTheme="minorHAnsi" w:hAnsiTheme="minorHAnsi"/>
        </w:rPr>
        <w:t>129,8</w:t>
      </w:r>
      <w:r w:rsidRPr="005B0A11">
        <w:rPr>
          <w:rFonts w:asciiTheme="minorHAnsi" w:hAnsiTheme="minorHAnsi"/>
        </w:rPr>
        <w:t xml:space="preserve"> %</w:t>
      </w:r>
      <w:r w:rsidR="00E803E6" w:rsidRPr="005B0A11">
        <w:rPr>
          <w:rFonts w:asciiTheme="minorHAnsi" w:hAnsiTheme="minorHAnsi"/>
        </w:rPr>
        <w:t>.</w:t>
      </w:r>
      <w:r w:rsidR="00A22328" w:rsidRPr="005B0A11">
        <w:rPr>
          <w:rFonts w:asciiTheme="minorHAnsi" w:hAnsiTheme="minorHAnsi"/>
        </w:rPr>
        <w:t xml:space="preserve"> </w:t>
      </w:r>
      <w:r w:rsidR="004D39AC" w:rsidRPr="005B0A11">
        <w:rPr>
          <w:rFonts w:asciiTheme="minorHAnsi" w:hAnsiTheme="minorHAnsi"/>
        </w:rPr>
        <w:t>Por último, la finalidad Servicios Económicos</w:t>
      </w:r>
      <w:r w:rsidR="00A30B5E" w:rsidRPr="005B0A11">
        <w:rPr>
          <w:rFonts w:asciiTheme="minorHAnsi" w:hAnsiTheme="minorHAnsi"/>
        </w:rPr>
        <w:t xml:space="preserve"> observ</w:t>
      </w:r>
      <w:r w:rsidRPr="005B0A11">
        <w:rPr>
          <w:rFonts w:asciiTheme="minorHAnsi" w:hAnsiTheme="minorHAnsi"/>
        </w:rPr>
        <w:t>a</w:t>
      </w:r>
      <w:r w:rsidR="00A30B5E" w:rsidRPr="005B0A11">
        <w:rPr>
          <w:rFonts w:asciiTheme="minorHAnsi" w:hAnsiTheme="minorHAnsi"/>
        </w:rPr>
        <w:t xml:space="preserve"> un</w:t>
      </w:r>
      <w:r w:rsidRPr="005B0A11">
        <w:rPr>
          <w:rFonts w:asciiTheme="minorHAnsi" w:hAnsiTheme="minorHAnsi"/>
        </w:rPr>
        <w:t>a</w:t>
      </w:r>
      <w:r w:rsidR="00A30B5E" w:rsidRPr="005B0A11">
        <w:rPr>
          <w:rFonts w:asciiTheme="minorHAnsi" w:hAnsiTheme="minorHAnsi"/>
        </w:rPr>
        <w:t xml:space="preserve"> </w:t>
      </w:r>
      <w:r w:rsidRPr="005B0A11">
        <w:rPr>
          <w:rFonts w:asciiTheme="minorHAnsi" w:hAnsiTheme="minorHAnsi"/>
        </w:rPr>
        <w:t>recuperación</w:t>
      </w:r>
      <w:r w:rsidR="00A30B5E" w:rsidRPr="005B0A11">
        <w:rPr>
          <w:rFonts w:asciiTheme="minorHAnsi" w:hAnsiTheme="minorHAnsi"/>
        </w:rPr>
        <w:t xml:space="preserve"> de </w:t>
      </w:r>
      <w:r w:rsidR="000B6D14">
        <w:rPr>
          <w:rFonts w:asciiTheme="minorHAnsi" w:hAnsiTheme="minorHAnsi"/>
        </w:rPr>
        <w:t>60,0</w:t>
      </w:r>
      <w:r w:rsidR="00A30B5E" w:rsidRPr="005B0A11">
        <w:rPr>
          <w:rFonts w:asciiTheme="minorHAnsi" w:hAnsiTheme="minorHAnsi"/>
        </w:rPr>
        <w:t xml:space="preserve"> %</w:t>
      </w:r>
      <w:r w:rsidR="00741549" w:rsidRPr="005B0A11">
        <w:rPr>
          <w:rFonts w:asciiTheme="minorHAnsi" w:hAnsiTheme="minorHAnsi"/>
        </w:rPr>
        <w:t>,</w:t>
      </w:r>
      <w:r w:rsidR="004D39AC" w:rsidRPr="005B0A11">
        <w:rPr>
          <w:rFonts w:asciiTheme="minorHAnsi" w:hAnsiTheme="minorHAnsi"/>
        </w:rPr>
        <w:t xml:space="preserve"> </w:t>
      </w:r>
      <w:r w:rsidR="00217EF6" w:rsidRPr="005B0A11">
        <w:rPr>
          <w:rFonts w:asciiTheme="minorHAnsi" w:hAnsiTheme="minorHAnsi"/>
        </w:rPr>
        <w:t>siguiendo el comportamiento de la</w:t>
      </w:r>
      <w:r w:rsidRPr="005B0A11">
        <w:rPr>
          <w:rFonts w:asciiTheme="minorHAnsi" w:hAnsiTheme="minorHAnsi"/>
        </w:rPr>
        <w:t xml:space="preserve"> inversión en infraestructura, y </w:t>
      </w:r>
      <w:r w:rsidR="00217EF6" w:rsidRPr="005B0A11">
        <w:rPr>
          <w:rFonts w:asciiTheme="minorHAnsi" w:hAnsiTheme="minorHAnsi"/>
        </w:rPr>
        <w:t>del otorgamiento</w:t>
      </w:r>
      <w:r w:rsidRPr="005B0A11">
        <w:rPr>
          <w:rFonts w:asciiTheme="minorHAnsi" w:hAnsiTheme="minorHAnsi"/>
        </w:rPr>
        <w:t xml:space="preserve"> de préstamos y subsidios a la actividad económica</w:t>
      </w:r>
      <w:r w:rsidR="004D39AC" w:rsidRPr="005B0A11">
        <w:rPr>
          <w:rFonts w:asciiTheme="minorHAnsi" w:hAnsiTheme="minorHAnsi"/>
        </w:rPr>
        <w:t>.</w:t>
      </w:r>
    </w:p>
    <w:p w:rsidR="00EC0D93" w:rsidRPr="005B0A11" w:rsidRDefault="00EC0D93" w:rsidP="00EC0D93">
      <w:pPr>
        <w:suppressAutoHyphens/>
        <w:jc w:val="both"/>
        <w:rPr>
          <w:rFonts w:ascii="Calibri" w:hAnsi="Calibri"/>
        </w:rPr>
      </w:pPr>
    </w:p>
    <w:p w:rsidR="004C56AD" w:rsidRPr="00DE3F2C" w:rsidRDefault="00EC0D93" w:rsidP="00EC0D93">
      <w:pPr>
        <w:suppressAutoHyphens/>
        <w:jc w:val="both"/>
        <w:rPr>
          <w:rFonts w:asciiTheme="minorHAnsi" w:hAnsiTheme="minorHAnsi"/>
        </w:rPr>
      </w:pPr>
      <w:r w:rsidRPr="00DE3F2C">
        <w:rPr>
          <w:rFonts w:asciiTheme="minorHAnsi" w:hAnsiTheme="minorHAnsi"/>
        </w:rPr>
        <w:t>El Gráfico 4 muestra la participación relativa de las finalidades al primer trimestre de 20</w:t>
      </w:r>
      <w:r w:rsidR="004C56AD" w:rsidRPr="00DE3F2C">
        <w:rPr>
          <w:rFonts w:asciiTheme="minorHAnsi" w:hAnsiTheme="minorHAnsi"/>
        </w:rPr>
        <w:t>2</w:t>
      </w:r>
      <w:r w:rsidR="000B6D14">
        <w:rPr>
          <w:rFonts w:asciiTheme="minorHAnsi" w:hAnsiTheme="minorHAnsi"/>
        </w:rPr>
        <w:t>2</w:t>
      </w:r>
      <w:r w:rsidR="004C56AD" w:rsidRPr="00DE3F2C">
        <w:rPr>
          <w:rFonts w:asciiTheme="minorHAnsi" w:hAnsiTheme="minorHAnsi"/>
        </w:rPr>
        <w:t>. En el mismo</w:t>
      </w:r>
      <w:r w:rsidRPr="00DE3F2C">
        <w:rPr>
          <w:rFonts w:asciiTheme="minorHAnsi" w:hAnsiTheme="minorHAnsi"/>
        </w:rPr>
        <w:t xml:space="preserve"> puede verse la relevancia de los Servicios Sociales con una participación en el gasto total del </w:t>
      </w:r>
      <w:r w:rsidR="005B0A11" w:rsidRPr="00DE3F2C">
        <w:rPr>
          <w:rFonts w:asciiTheme="minorHAnsi" w:hAnsiTheme="minorHAnsi"/>
        </w:rPr>
        <w:t>56,</w:t>
      </w:r>
      <w:r w:rsidR="000B6D14">
        <w:rPr>
          <w:rFonts w:asciiTheme="minorHAnsi" w:hAnsiTheme="minorHAnsi"/>
        </w:rPr>
        <w:t>9</w:t>
      </w:r>
      <w:r w:rsidRPr="00DE3F2C">
        <w:rPr>
          <w:rFonts w:asciiTheme="minorHAnsi" w:hAnsiTheme="minorHAnsi"/>
        </w:rPr>
        <w:t xml:space="preserve"> %, </w:t>
      </w:r>
      <w:r w:rsidR="004C56AD" w:rsidRPr="00DE3F2C">
        <w:rPr>
          <w:rFonts w:asciiTheme="minorHAnsi" w:hAnsiTheme="minorHAnsi"/>
        </w:rPr>
        <w:t>siendo sus principales componentes el gasto en Educación y Cultura (</w:t>
      </w:r>
      <w:r w:rsidR="005B0A11" w:rsidRPr="00DE3F2C">
        <w:rPr>
          <w:rFonts w:asciiTheme="minorHAnsi" w:hAnsiTheme="minorHAnsi"/>
        </w:rPr>
        <w:t>25,3</w:t>
      </w:r>
      <w:r w:rsidR="004C56AD" w:rsidRPr="00DE3F2C">
        <w:rPr>
          <w:rFonts w:asciiTheme="minorHAnsi" w:hAnsiTheme="minorHAnsi"/>
        </w:rPr>
        <w:t xml:space="preserve"> % del gasto total), la Seguridad Social (</w:t>
      </w:r>
      <w:r w:rsidR="005B0A11" w:rsidRPr="00DE3F2C">
        <w:rPr>
          <w:rFonts w:asciiTheme="minorHAnsi" w:hAnsiTheme="minorHAnsi"/>
        </w:rPr>
        <w:t>13,8</w:t>
      </w:r>
      <w:r w:rsidR="004C56AD" w:rsidRPr="00DE3F2C">
        <w:rPr>
          <w:rFonts w:asciiTheme="minorHAnsi" w:hAnsiTheme="minorHAnsi"/>
        </w:rPr>
        <w:t xml:space="preserve"> %) y la Salud (</w:t>
      </w:r>
      <w:r w:rsidR="005B0A11" w:rsidRPr="00DE3F2C">
        <w:rPr>
          <w:rFonts w:asciiTheme="minorHAnsi" w:hAnsiTheme="minorHAnsi"/>
        </w:rPr>
        <w:t>11,0</w:t>
      </w:r>
      <w:r w:rsidR="004C56AD" w:rsidRPr="00DE3F2C">
        <w:rPr>
          <w:rFonts w:asciiTheme="minorHAnsi" w:hAnsiTheme="minorHAnsi"/>
        </w:rPr>
        <w:t xml:space="preserve"> %).</w:t>
      </w:r>
    </w:p>
    <w:p w:rsidR="004C56AD" w:rsidRPr="00DE3F2C" w:rsidRDefault="004C56AD" w:rsidP="00EC0D93">
      <w:pPr>
        <w:suppressAutoHyphens/>
        <w:jc w:val="both"/>
        <w:rPr>
          <w:rFonts w:asciiTheme="minorHAnsi" w:hAnsiTheme="minorHAnsi"/>
        </w:rPr>
      </w:pPr>
    </w:p>
    <w:p w:rsidR="004C56AD" w:rsidRPr="00DE3F2C" w:rsidRDefault="004C56AD" w:rsidP="00EC0D93">
      <w:pPr>
        <w:suppressAutoHyphens/>
        <w:jc w:val="both"/>
        <w:rPr>
          <w:rFonts w:asciiTheme="minorHAnsi" w:hAnsiTheme="minorHAnsi"/>
        </w:rPr>
      </w:pPr>
      <w:r w:rsidRPr="00DE3F2C">
        <w:rPr>
          <w:rFonts w:asciiTheme="minorHAnsi" w:hAnsiTheme="minorHAnsi"/>
        </w:rPr>
        <w:t>L</w:t>
      </w:r>
      <w:r w:rsidR="00EC0D93" w:rsidRPr="00DE3F2C">
        <w:rPr>
          <w:rFonts w:asciiTheme="minorHAnsi" w:hAnsiTheme="minorHAnsi"/>
        </w:rPr>
        <w:t>a</w:t>
      </w:r>
      <w:r w:rsidRPr="00DE3F2C">
        <w:rPr>
          <w:rFonts w:asciiTheme="minorHAnsi" w:hAnsiTheme="minorHAnsi"/>
        </w:rPr>
        <w:t xml:space="preserve"> segunda</w:t>
      </w:r>
      <w:r w:rsidR="00EC0D93" w:rsidRPr="00DE3F2C">
        <w:rPr>
          <w:rFonts w:asciiTheme="minorHAnsi" w:hAnsiTheme="minorHAnsi"/>
        </w:rPr>
        <w:t xml:space="preserve"> finalidad en</w:t>
      </w:r>
      <w:r w:rsidRPr="00DE3F2C">
        <w:rPr>
          <w:rFonts w:asciiTheme="minorHAnsi" w:hAnsiTheme="minorHAnsi"/>
        </w:rPr>
        <w:t xml:space="preserve"> términos de</w:t>
      </w:r>
      <w:r w:rsidR="00EC0D93" w:rsidRPr="00DE3F2C">
        <w:rPr>
          <w:rFonts w:asciiTheme="minorHAnsi" w:hAnsiTheme="minorHAnsi"/>
        </w:rPr>
        <w:t xml:space="preserve"> importancia es la Administración Gubernamental, con </w:t>
      </w:r>
      <w:r w:rsidR="005B0A11" w:rsidRPr="00DE3F2C">
        <w:rPr>
          <w:rFonts w:asciiTheme="minorHAnsi" w:hAnsiTheme="minorHAnsi"/>
        </w:rPr>
        <w:t>23,</w:t>
      </w:r>
      <w:r w:rsidR="000B6D14">
        <w:rPr>
          <w:rFonts w:asciiTheme="minorHAnsi" w:hAnsiTheme="minorHAnsi"/>
        </w:rPr>
        <w:t>4</w:t>
      </w:r>
      <w:r w:rsidR="00EC0D93" w:rsidRPr="00DE3F2C">
        <w:rPr>
          <w:rFonts w:asciiTheme="minorHAnsi" w:hAnsiTheme="minorHAnsi"/>
        </w:rPr>
        <w:t xml:space="preserve"> %</w:t>
      </w:r>
      <w:r w:rsidR="00BD6138" w:rsidRPr="00DE3F2C">
        <w:rPr>
          <w:rFonts w:asciiTheme="minorHAnsi" w:hAnsiTheme="minorHAnsi"/>
        </w:rPr>
        <w:t xml:space="preserve"> de participación</w:t>
      </w:r>
      <w:r w:rsidRPr="00DE3F2C">
        <w:rPr>
          <w:rFonts w:asciiTheme="minorHAnsi" w:hAnsiTheme="minorHAnsi"/>
        </w:rPr>
        <w:t xml:space="preserve">, de la cual </w:t>
      </w:r>
      <w:r w:rsidR="005B0A11" w:rsidRPr="00DE3F2C">
        <w:rPr>
          <w:rFonts w:asciiTheme="minorHAnsi" w:hAnsiTheme="minorHAnsi"/>
        </w:rPr>
        <w:t>casi</w:t>
      </w:r>
      <w:r w:rsidRPr="00DE3F2C">
        <w:rPr>
          <w:rFonts w:asciiTheme="minorHAnsi" w:hAnsiTheme="minorHAnsi"/>
        </w:rPr>
        <w:t xml:space="preserve"> la mitad (</w:t>
      </w:r>
      <w:r w:rsidR="005B0A11" w:rsidRPr="00DE3F2C">
        <w:rPr>
          <w:rFonts w:asciiTheme="minorHAnsi" w:hAnsiTheme="minorHAnsi"/>
        </w:rPr>
        <w:t>11,7</w:t>
      </w:r>
      <w:r w:rsidRPr="00DE3F2C">
        <w:rPr>
          <w:rFonts w:asciiTheme="minorHAnsi" w:hAnsiTheme="minorHAnsi"/>
        </w:rPr>
        <w:t xml:space="preserve"> % de las erogaciones totales) corresponde a las relaciones con municipios</w:t>
      </w:r>
      <w:r w:rsidR="00EC0D93" w:rsidRPr="00DE3F2C">
        <w:rPr>
          <w:rFonts w:asciiTheme="minorHAnsi" w:hAnsiTheme="minorHAnsi"/>
        </w:rPr>
        <w:t>.</w:t>
      </w:r>
      <w:r w:rsidRPr="00DE3F2C">
        <w:rPr>
          <w:rFonts w:asciiTheme="minorHAnsi" w:hAnsiTheme="minorHAnsi"/>
        </w:rPr>
        <w:t xml:space="preserve"> Los servicios de Seguridad absorbieron el </w:t>
      </w:r>
      <w:r w:rsidR="00BD6138" w:rsidRPr="00DE3F2C">
        <w:rPr>
          <w:rFonts w:asciiTheme="minorHAnsi" w:hAnsiTheme="minorHAnsi"/>
        </w:rPr>
        <w:t>9,</w:t>
      </w:r>
      <w:r w:rsidR="00DE3F2C" w:rsidRPr="00DE3F2C">
        <w:rPr>
          <w:rFonts w:asciiTheme="minorHAnsi" w:hAnsiTheme="minorHAnsi"/>
        </w:rPr>
        <w:t>5</w:t>
      </w:r>
      <w:r w:rsidRPr="00DE3F2C">
        <w:rPr>
          <w:rFonts w:asciiTheme="minorHAnsi" w:hAnsiTheme="minorHAnsi"/>
        </w:rPr>
        <w:t xml:space="preserve"> % del gasto.</w:t>
      </w:r>
    </w:p>
    <w:p w:rsidR="004C56AD" w:rsidRPr="00DE3F2C" w:rsidRDefault="004C56AD" w:rsidP="00EC0D93">
      <w:pPr>
        <w:suppressAutoHyphens/>
        <w:jc w:val="both"/>
        <w:rPr>
          <w:rFonts w:asciiTheme="minorHAnsi" w:hAnsiTheme="minorHAnsi"/>
        </w:rPr>
      </w:pPr>
    </w:p>
    <w:p w:rsidR="00EC0D93" w:rsidRPr="00DE3F2C" w:rsidRDefault="00EC0D93" w:rsidP="00EC0D93">
      <w:pPr>
        <w:suppressAutoHyphens/>
        <w:jc w:val="both"/>
        <w:rPr>
          <w:rFonts w:asciiTheme="minorHAnsi" w:hAnsiTheme="minorHAnsi"/>
        </w:rPr>
      </w:pPr>
      <w:r w:rsidRPr="00DE3F2C">
        <w:rPr>
          <w:rFonts w:asciiTheme="minorHAnsi" w:hAnsiTheme="minorHAnsi"/>
        </w:rPr>
        <w:t xml:space="preserve">La finalidad Deuda Pública </w:t>
      </w:r>
      <w:r w:rsidR="004C56AD" w:rsidRPr="00DE3F2C">
        <w:rPr>
          <w:rFonts w:asciiTheme="minorHAnsi" w:hAnsiTheme="minorHAnsi"/>
        </w:rPr>
        <w:t xml:space="preserve">registra un </w:t>
      </w:r>
      <w:r w:rsidR="00DE3F2C" w:rsidRPr="00DE3F2C">
        <w:rPr>
          <w:rFonts w:asciiTheme="minorHAnsi" w:hAnsiTheme="minorHAnsi"/>
        </w:rPr>
        <w:t>incremento en</w:t>
      </w:r>
      <w:r w:rsidRPr="00DE3F2C">
        <w:rPr>
          <w:rFonts w:asciiTheme="minorHAnsi" w:hAnsiTheme="minorHAnsi"/>
        </w:rPr>
        <w:t xml:space="preserve"> su participación relativa (</w:t>
      </w:r>
      <w:r w:rsidR="00DE3F2C" w:rsidRPr="00DE3F2C">
        <w:rPr>
          <w:rFonts w:asciiTheme="minorHAnsi" w:hAnsiTheme="minorHAnsi"/>
        </w:rPr>
        <w:t>3</w:t>
      </w:r>
      <w:r w:rsidR="00BD6138" w:rsidRPr="00DE3F2C">
        <w:rPr>
          <w:rFonts w:asciiTheme="minorHAnsi" w:hAnsiTheme="minorHAnsi"/>
        </w:rPr>
        <w:t>,6</w:t>
      </w:r>
      <w:r w:rsidR="004C56AD" w:rsidRPr="00DE3F2C">
        <w:rPr>
          <w:rFonts w:asciiTheme="minorHAnsi" w:hAnsiTheme="minorHAnsi"/>
        </w:rPr>
        <w:t xml:space="preserve"> </w:t>
      </w:r>
      <w:r w:rsidRPr="00DE3F2C">
        <w:rPr>
          <w:rFonts w:asciiTheme="minorHAnsi" w:hAnsiTheme="minorHAnsi"/>
        </w:rPr>
        <w:t>% del tot</w:t>
      </w:r>
      <w:r w:rsidR="004C56AD" w:rsidRPr="00DE3F2C">
        <w:rPr>
          <w:rFonts w:asciiTheme="minorHAnsi" w:hAnsiTheme="minorHAnsi"/>
        </w:rPr>
        <w:t>al)</w:t>
      </w:r>
      <w:r w:rsidR="00DE3F2C" w:rsidRPr="00DE3F2C">
        <w:rPr>
          <w:rFonts w:asciiTheme="minorHAnsi" w:hAnsiTheme="minorHAnsi"/>
        </w:rPr>
        <w:t xml:space="preserve"> respecto a idéntico período de 2021</w:t>
      </w:r>
      <w:r w:rsidR="004C56AD" w:rsidRPr="00DE3F2C">
        <w:rPr>
          <w:rFonts w:asciiTheme="minorHAnsi" w:hAnsiTheme="minorHAnsi"/>
        </w:rPr>
        <w:t xml:space="preserve">, en tanto que los Servicios Económicos </w:t>
      </w:r>
      <w:r w:rsidR="004C56AD" w:rsidRPr="00DE3F2C">
        <w:rPr>
          <w:rFonts w:asciiTheme="minorHAnsi" w:hAnsiTheme="minorHAnsi"/>
        </w:rPr>
        <w:lastRenderedPageBreak/>
        <w:t xml:space="preserve">representaron </w:t>
      </w:r>
      <w:r w:rsidR="00672D51" w:rsidRPr="00DE3F2C">
        <w:rPr>
          <w:rFonts w:asciiTheme="minorHAnsi" w:hAnsiTheme="minorHAnsi"/>
        </w:rPr>
        <w:t xml:space="preserve">el </w:t>
      </w:r>
      <w:r w:rsidR="00BD6138" w:rsidRPr="00DE3F2C">
        <w:rPr>
          <w:rFonts w:asciiTheme="minorHAnsi" w:hAnsiTheme="minorHAnsi"/>
        </w:rPr>
        <w:t>6,</w:t>
      </w:r>
      <w:r w:rsidR="00DE3F2C" w:rsidRPr="00DE3F2C">
        <w:rPr>
          <w:rFonts w:asciiTheme="minorHAnsi" w:hAnsiTheme="minorHAnsi"/>
        </w:rPr>
        <w:t>6</w:t>
      </w:r>
      <w:r w:rsidR="00672D51" w:rsidRPr="00DE3F2C">
        <w:rPr>
          <w:rFonts w:asciiTheme="minorHAnsi" w:hAnsiTheme="minorHAnsi"/>
        </w:rPr>
        <w:t xml:space="preserve"> % del gasto, correspondiendo la mitad al gasto de la función Transporte.</w:t>
      </w:r>
    </w:p>
    <w:p w:rsidR="004D39AC" w:rsidRPr="00DE3F2C" w:rsidRDefault="004D39AC" w:rsidP="004D39AC">
      <w:pPr>
        <w:suppressAutoHyphens/>
        <w:jc w:val="both"/>
        <w:rPr>
          <w:rFonts w:ascii="Trebuchet MS" w:hAnsi="Trebuchet MS"/>
        </w:rPr>
      </w:pPr>
    </w:p>
    <w:p w:rsidR="00F133D6" w:rsidRPr="00F133D6" w:rsidRDefault="00F133D6" w:rsidP="00F133D6">
      <w:pPr>
        <w:suppressAutoHyphens/>
        <w:jc w:val="center"/>
        <w:rPr>
          <w:rFonts w:asciiTheme="minorHAnsi" w:hAnsiTheme="minorHAnsi"/>
        </w:rPr>
      </w:pPr>
      <w:r w:rsidRPr="00F133D6">
        <w:rPr>
          <w:rFonts w:asciiTheme="minorHAnsi" w:hAnsiTheme="minorHAnsi"/>
          <w:b/>
        </w:rPr>
        <w:t xml:space="preserve">Gráfico </w:t>
      </w:r>
      <w:r w:rsidR="00DA7565">
        <w:rPr>
          <w:rFonts w:asciiTheme="minorHAnsi" w:hAnsiTheme="minorHAnsi"/>
          <w:b/>
        </w:rPr>
        <w:t>4</w:t>
      </w:r>
      <w:r w:rsidRPr="00F133D6">
        <w:rPr>
          <w:rFonts w:asciiTheme="minorHAnsi" w:hAnsiTheme="minorHAnsi"/>
          <w:b/>
        </w:rPr>
        <w:t>.</w:t>
      </w:r>
      <w:r>
        <w:rPr>
          <w:rFonts w:asciiTheme="minorHAnsi" w:hAnsiTheme="minorHAnsi"/>
        </w:rPr>
        <w:t xml:space="preserve"> </w:t>
      </w:r>
      <w:r w:rsidRPr="00F133D6">
        <w:rPr>
          <w:rFonts w:asciiTheme="minorHAnsi" w:hAnsiTheme="minorHAnsi"/>
        </w:rPr>
        <w:t>Estructura del Gasto por Finalidad y Principales Funciones</w:t>
      </w:r>
    </w:p>
    <w:p w:rsidR="00F133D6" w:rsidRDefault="00F133D6" w:rsidP="009D616A">
      <w:pPr>
        <w:suppressAutoHyphens/>
        <w:spacing w:after="120"/>
        <w:jc w:val="center"/>
        <w:rPr>
          <w:rFonts w:asciiTheme="minorHAnsi" w:hAnsiTheme="minorHAnsi"/>
        </w:rPr>
      </w:pPr>
      <w:r w:rsidRPr="00F133D6">
        <w:rPr>
          <w:rFonts w:asciiTheme="minorHAnsi" w:hAnsiTheme="minorHAnsi"/>
        </w:rPr>
        <w:t>I Trimestre 20</w:t>
      </w:r>
      <w:r w:rsidR="00257BB9">
        <w:rPr>
          <w:rFonts w:asciiTheme="minorHAnsi" w:hAnsiTheme="minorHAnsi"/>
        </w:rPr>
        <w:t>2</w:t>
      </w:r>
      <w:r w:rsidR="00745967">
        <w:rPr>
          <w:rFonts w:asciiTheme="minorHAnsi" w:hAnsiTheme="minorHAnsi"/>
        </w:rPr>
        <w:t>2</w:t>
      </w:r>
    </w:p>
    <w:p w:rsidR="007912AD" w:rsidRPr="00B85EE8" w:rsidRDefault="00E56A55" w:rsidP="00094CD9">
      <w:pPr>
        <w:suppressAutoHyphens/>
        <w:spacing w:after="120"/>
        <w:jc w:val="center"/>
        <w:rPr>
          <w:rFonts w:ascii="Calibri" w:hAnsi="Calibri"/>
        </w:rPr>
      </w:pPr>
      <w:r>
        <w:rPr>
          <w:rFonts w:ascii="Calibri" w:hAnsi="Calibri"/>
          <w:noProof/>
          <w:lang w:val="es-AR" w:eastAsia="es-AR"/>
        </w:rPr>
        <w:drawing>
          <wp:inline distT="0" distB="0" distL="0" distR="0" wp14:anchorId="5F9A0447">
            <wp:extent cx="5155200" cy="2710800"/>
            <wp:effectExtent l="19050" t="19050" r="26670" b="1397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55200" cy="2710800"/>
                    </a:xfrm>
                    <a:prstGeom prst="rect">
                      <a:avLst/>
                    </a:prstGeom>
                    <a:noFill/>
                    <a:ln w="19050">
                      <a:solidFill>
                        <a:schemeClr val="tx1"/>
                      </a:solidFill>
                    </a:ln>
                  </pic:spPr>
                </pic:pic>
              </a:graphicData>
            </a:graphic>
          </wp:inline>
        </w:drawing>
      </w:r>
    </w:p>
    <w:p w:rsidR="009C35E7" w:rsidRDefault="009C35E7" w:rsidP="00DE3F2C">
      <w:pPr>
        <w:suppressAutoHyphens/>
        <w:ind w:left="142"/>
        <w:rPr>
          <w:rFonts w:ascii="Calibri" w:hAnsi="Calibri"/>
          <w:sz w:val="20"/>
          <w:szCs w:val="20"/>
        </w:rPr>
      </w:pPr>
      <w:r w:rsidRPr="00143254">
        <w:rPr>
          <w:rFonts w:ascii="Calibri" w:hAnsi="Calibri"/>
          <w:b/>
          <w:sz w:val="20"/>
          <w:szCs w:val="20"/>
        </w:rPr>
        <w:t xml:space="preserve">(1): </w:t>
      </w:r>
      <w:r w:rsidRPr="00143254">
        <w:rPr>
          <w:rFonts w:ascii="Calibri" w:hAnsi="Calibri"/>
          <w:sz w:val="20"/>
          <w:szCs w:val="20"/>
        </w:rPr>
        <w:t xml:space="preserve">Otros </w:t>
      </w:r>
      <w:r>
        <w:rPr>
          <w:rFonts w:ascii="Calibri" w:hAnsi="Calibri"/>
          <w:sz w:val="20"/>
          <w:szCs w:val="20"/>
        </w:rPr>
        <w:t>Servicios Sociales</w:t>
      </w:r>
      <w:r w:rsidRPr="00143254">
        <w:rPr>
          <w:rFonts w:ascii="Calibri" w:hAnsi="Calibri"/>
          <w:sz w:val="20"/>
          <w:szCs w:val="20"/>
        </w:rPr>
        <w:t xml:space="preserve"> comprende </w:t>
      </w:r>
      <w:r>
        <w:rPr>
          <w:rFonts w:ascii="Calibri" w:hAnsi="Calibri"/>
          <w:sz w:val="20"/>
          <w:szCs w:val="20"/>
        </w:rPr>
        <w:t>Ciencia y Técnica, Trabajo, A</w:t>
      </w:r>
      <w:r w:rsidR="00062B32">
        <w:rPr>
          <w:rFonts w:ascii="Calibri" w:hAnsi="Calibri"/>
          <w:sz w:val="20"/>
          <w:szCs w:val="20"/>
        </w:rPr>
        <w:t>gua potable y alcantarillado y O</w:t>
      </w:r>
      <w:r>
        <w:rPr>
          <w:rFonts w:ascii="Calibri" w:hAnsi="Calibri"/>
          <w:sz w:val="20"/>
          <w:szCs w:val="20"/>
        </w:rPr>
        <w:t>tros servicios urbanos.</w:t>
      </w:r>
    </w:p>
    <w:p w:rsidR="00590089" w:rsidRPr="00DB5695" w:rsidRDefault="009C35E7" w:rsidP="00DE3F2C">
      <w:pPr>
        <w:suppressAutoHyphens/>
        <w:ind w:left="142" w:right="-142"/>
        <w:jc w:val="both"/>
        <w:rPr>
          <w:rFonts w:asciiTheme="minorHAnsi" w:hAnsiTheme="minorHAnsi"/>
          <w:sz w:val="20"/>
          <w:szCs w:val="20"/>
        </w:rPr>
      </w:pPr>
      <w:r>
        <w:rPr>
          <w:rFonts w:ascii="Calibri" w:hAnsi="Calibri"/>
          <w:b/>
          <w:sz w:val="20"/>
          <w:szCs w:val="20"/>
        </w:rPr>
        <w:t>F</w:t>
      </w:r>
      <w:r w:rsidRPr="00143254">
        <w:rPr>
          <w:rFonts w:ascii="Calibri" w:hAnsi="Calibri"/>
          <w:b/>
          <w:sz w:val="20"/>
          <w:szCs w:val="20"/>
        </w:rPr>
        <w:t>uente</w:t>
      </w:r>
      <w:r w:rsidRPr="00143254">
        <w:rPr>
          <w:rFonts w:ascii="Calibri" w:hAnsi="Calibri"/>
          <w:sz w:val="20"/>
          <w:szCs w:val="20"/>
        </w:rPr>
        <w:t>: Secretaria de Hacienda en base a información provista por las jurisdicciones</w:t>
      </w:r>
      <w:r w:rsidR="00DE28F1">
        <w:rPr>
          <w:rFonts w:ascii="Calibri" w:hAnsi="Calibri"/>
          <w:sz w:val="20"/>
          <w:szCs w:val="20"/>
        </w:rPr>
        <w:t>.</w:t>
      </w:r>
    </w:p>
    <w:p w:rsidR="00436337" w:rsidRDefault="00436337" w:rsidP="00A22328">
      <w:pPr>
        <w:suppressAutoHyphens/>
        <w:jc w:val="both"/>
        <w:rPr>
          <w:rFonts w:asciiTheme="minorHAnsi" w:hAnsiTheme="minorHAnsi"/>
        </w:rPr>
      </w:pPr>
      <w:r>
        <w:rPr>
          <w:rFonts w:asciiTheme="minorHAnsi" w:hAnsiTheme="minorHAnsi"/>
        </w:rPr>
        <w:br w:type="page"/>
      </w:r>
    </w:p>
    <w:p w:rsidR="00436337" w:rsidRPr="005A5F68" w:rsidRDefault="00436337" w:rsidP="00436337">
      <w:pPr>
        <w:pStyle w:val="Ttulo1"/>
        <w:numPr>
          <w:ilvl w:val="0"/>
          <w:numId w:val="0"/>
        </w:numPr>
        <w:pBdr>
          <w:bottom w:val="single" w:sz="4" w:space="1" w:color="auto"/>
        </w:pBdr>
        <w:ind w:left="360"/>
      </w:pPr>
      <w:bookmarkStart w:id="39" w:name="_Toc532576019"/>
      <w:bookmarkStart w:id="40" w:name="_Toc532576465"/>
      <w:bookmarkStart w:id="41" w:name="_Toc532576666"/>
      <w:bookmarkStart w:id="42" w:name="_Toc957294"/>
      <w:bookmarkStart w:id="43" w:name="_Toc3367375"/>
      <w:r w:rsidRPr="005A5F68">
        <w:lastRenderedPageBreak/>
        <w:t>ANEXO: Esquema AIF</w:t>
      </w:r>
      <w:bookmarkEnd w:id="39"/>
      <w:bookmarkEnd w:id="40"/>
      <w:bookmarkEnd w:id="41"/>
      <w:bookmarkEnd w:id="42"/>
      <w:bookmarkEnd w:id="43"/>
    </w:p>
    <w:p w:rsidR="00436337" w:rsidRDefault="00436337" w:rsidP="00436337">
      <w:pPr>
        <w:suppressAutoHyphens/>
        <w:ind w:left="851" w:right="850"/>
        <w:jc w:val="center"/>
        <w:rPr>
          <w:rFonts w:asciiTheme="minorHAnsi" w:hAnsiTheme="minorHAnsi"/>
          <w:b/>
        </w:rPr>
      </w:pPr>
    </w:p>
    <w:p w:rsidR="00436337" w:rsidRDefault="00436337" w:rsidP="00436337">
      <w:pPr>
        <w:suppressAutoHyphens/>
        <w:ind w:left="851" w:right="850"/>
        <w:jc w:val="center"/>
        <w:rPr>
          <w:rFonts w:asciiTheme="minorHAnsi" w:hAnsiTheme="minorHAnsi"/>
        </w:rPr>
      </w:pPr>
      <w:r w:rsidRPr="00F133D6">
        <w:rPr>
          <w:rFonts w:asciiTheme="minorHAnsi" w:hAnsiTheme="minorHAnsi"/>
          <w:b/>
        </w:rPr>
        <w:t xml:space="preserve">Cuadro </w:t>
      </w:r>
      <w:r>
        <w:rPr>
          <w:rFonts w:asciiTheme="minorHAnsi" w:hAnsiTheme="minorHAnsi"/>
          <w:b/>
        </w:rPr>
        <w:t>5</w:t>
      </w:r>
      <w:r w:rsidRPr="00F133D6">
        <w:rPr>
          <w:rFonts w:asciiTheme="minorHAnsi" w:hAnsiTheme="minorHAnsi"/>
          <w:b/>
        </w:rPr>
        <w:t>.</w:t>
      </w:r>
      <w:r w:rsidRPr="00F133D6">
        <w:rPr>
          <w:rFonts w:asciiTheme="minorHAnsi" w:hAnsiTheme="minorHAnsi"/>
        </w:rPr>
        <w:t xml:space="preserve"> </w:t>
      </w:r>
      <w:r>
        <w:rPr>
          <w:rFonts w:asciiTheme="minorHAnsi" w:hAnsiTheme="minorHAnsi"/>
        </w:rPr>
        <w:t>Esquema Ahorro Inversión y Financiamiento</w:t>
      </w:r>
      <w:r w:rsidRPr="00F133D6">
        <w:rPr>
          <w:rFonts w:asciiTheme="minorHAnsi" w:hAnsiTheme="minorHAnsi"/>
        </w:rPr>
        <w:t xml:space="preserve"> de la APNF.</w:t>
      </w:r>
    </w:p>
    <w:p w:rsidR="00436337" w:rsidRPr="00F133D6" w:rsidRDefault="00B61E6C" w:rsidP="00436337">
      <w:pPr>
        <w:suppressAutoHyphens/>
        <w:spacing w:after="60"/>
        <w:jc w:val="center"/>
        <w:rPr>
          <w:rFonts w:asciiTheme="minorHAnsi" w:hAnsiTheme="minorHAnsi"/>
        </w:rPr>
      </w:pPr>
      <w:r>
        <w:rPr>
          <w:rFonts w:asciiTheme="minorHAnsi" w:hAnsiTheme="minorHAnsi"/>
        </w:rPr>
        <w:t xml:space="preserve">Primer </w:t>
      </w:r>
      <w:r w:rsidR="00436337">
        <w:rPr>
          <w:rFonts w:asciiTheme="minorHAnsi" w:hAnsiTheme="minorHAnsi"/>
        </w:rPr>
        <w:t>Trimestre 20</w:t>
      </w:r>
      <w:r w:rsidR="00706CD5">
        <w:rPr>
          <w:rFonts w:asciiTheme="minorHAnsi" w:hAnsiTheme="minorHAnsi"/>
        </w:rPr>
        <w:t>2</w:t>
      </w:r>
      <w:r w:rsidR="00745967">
        <w:rPr>
          <w:rFonts w:asciiTheme="minorHAnsi" w:hAnsiTheme="minorHAnsi"/>
        </w:rPr>
        <w:t>2</w:t>
      </w:r>
    </w:p>
    <w:p w:rsidR="00436337" w:rsidRDefault="00436337" w:rsidP="00436337">
      <w:pPr>
        <w:suppressAutoHyphens/>
        <w:spacing w:after="60"/>
        <w:ind w:left="851" w:right="850"/>
        <w:jc w:val="center"/>
        <w:rPr>
          <w:rFonts w:asciiTheme="minorHAnsi" w:hAnsiTheme="minorHAnsi"/>
        </w:rPr>
      </w:pPr>
      <w:r>
        <w:rPr>
          <w:rFonts w:asciiTheme="minorHAnsi" w:hAnsiTheme="minorHAnsi"/>
        </w:rPr>
        <w:t>B</w:t>
      </w:r>
      <w:r w:rsidRPr="00F133D6">
        <w:rPr>
          <w:rFonts w:asciiTheme="minorHAnsi" w:hAnsiTheme="minorHAnsi"/>
        </w:rPr>
        <w:t>ase devengado</w:t>
      </w:r>
      <w:r>
        <w:rPr>
          <w:rFonts w:asciiTheme="minorHAnsi" w:hAnsiTheme="minorHAnsi"/>
        </w:rPr>
        <w:t xml:space="preserve"> - En millones de pesos</w:t>
      </w:r>
    </w:p>
    <w:p w:rsidR="00436337" w:rsidRDefault="000B6D14" w:rsidP="00436337">
      <w:pPr>
        <w:suppressAutoHyphens/>
        <w:jc w:val="center"/>
        <w:rPr>
          <w:rFonts w:asciiTheme="minorHAnsi" w:hAnsiTheme="minorHAnsi"/>
        </w:rPr>
      </w:pPr>
      <w:r w:rsidRPr="000B6D14">
        <w:rPr>
          <w:noProof/>
          <w:lang w:val="es-AR" w:eastAsia="es-AR"/>
        </w:rPr>
        <w:drawing>
          <wp:inline distT="0" distB="0" distL="0" distR="0">
            <wp:extent cx="3276000" cy="7455600"/>
            <wp:effectExtent l="0" t="0" r="63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76000" cy="7455600"/>
                    </a:xfrm>
                    <a:prstGeom prst="rect">
                      <a:avLst/>
                    </a:prstGeom>
                    <a:noFill/>
                    <a:ln>
                      <a:noFill/>
                    </a:ln>
                  </pic:spPr>
                </pic:pic>
              </a:graphicData>
            </a:graphic>
          </wp:inline>
        </w:drawing>
      </w:r>
    </w:p>
    <w:p w:rsidR="00B61E6C" w:rsidRPr="00DB5695" w:rsidRDefault="00B61E6C" w:rsidP="005B7A5F">
      <w:pPr>
        <w:suppressAutoHyphens/>
        <w:ind w:left="1701" w:right="1701"/>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sectPr w:rsidR="00B61E6C" w:rsidRPr="00DB5695" w:rsidSect="00696972">
      <w:pgSz w:w="11907" w:h="16840" w:code="9"/>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D20" w:rsidRDefault="009B4D20">
      <w:r>
        <w:separator/>
      </w:r>
    </w:p>
  </w:endnote>
  <w:endnote w:type="continuationSeparator" w:id="0">
    <w:p w:rsidR="009B4D20" w:rsidRDefault="009B4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Default="009B4D20"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B4D20" w:rsidRDefault="009B4D20"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Pr="006E1993" w:rsidRDefault="009B4D20" w:rsidP="006E1993">
    <w:pPr>
      <w:pStyle w:val="Piedepgina"/>
      <w:jc w:val="right"/>
      <w:rPr>
        <w:rFonts w:asciiTheme="minorHAnsi" w:hAnsiTheme="minorHAnsi"/>
        <w:color w:val="595959" w:themeColor="text1" w:themeTint="A6"/>
      </w:rPr>
    </w:pPr>
    <w:r w:rsidRPr="006E1993">
      <w:rPr>
        <w:rFonts w:asciiTheme="minorHAnsi" w:hAnsiTheme="minorHAnsi"/>
        <w:color w:val="595959" w:themeColor="text1" w:themeTint="A6"/>
      </w:rPr>
      <w:t>______________________________________</w:t>
    </w:r>
    <w:r>
      <w:rPr>
        <w:rFonts w:asciiTheme="minorHAnsi" w:hAnsiTheme="minorHAnsi"/>
        <w:color w:val="595959" w:themeColor="text1" w:themeTint="A6"/>
      </w:rPr>
      <w:t>_______________________________</w:t>
    </w:r>
  </w:p>
  <w:p w:rsidR="009B4D20" w:rsidRDefault="009B4D20" w:rsidP="006E1993">
    <w:pPr>
      <w:pStyle w:val="Piedepgina"/>
      <w:jc w:val="right"/>
      <w:rPr>
        <w:rFonts w:asciiTheme="minorHAnsi" w:hAnsiTheme="minorHAnsi"/>
        <w:noProof/>
        <w:color w:val="595959" w:themeColor="text1" w:themeTint="A6"/>
        <w:sz w:val="18"/>
        <w:szCs w:val="18"/>
      </w:rPr>
    </w:pPr>
    <w:r w:rsidRPr="006E1993">
      <w:rPr>
        <w:rFonts w:asciiTheme="minorHAnsi" w:hAnsiTheme="minorHAnsi"/>
        <w:color w:val="595959" w:themeColor="text1" w:themeTint="A6"/>
      </w:rPr>
      <w:fldChar w:fldCharType="begin"/>
    </w:r>
    <w:r w:rsidRPr="006E1993">
      <w:rPr>
        <w:rFonts w:asciiTheme="minorHAnsi" w:hAnsiTheme="minorHAnsi"/>
        <w:color w:val="595959" w:themeColor="text1" w:themeTint="A6"/>
      </w:rPr>
      <w:instrText xml:space="preserve"> PAGE   \* MERGEFORMAT </w:instrText>
    </w:r>
    <w:r w:rsidRPr="006E1993">
      <w:rPr>
        <w:rFonts w:asciiTheme="minorHAnsi" w:hAnsiTheme="minorHAnsi"/>
        <w:color w:val="595959" w:themeColor="text1" w:themeTint="A6"/>
      </w:rPr>
      <w:fldChar w:fldCharType="separate"/>
    </w:r>
    <w:r w:rsidR="00332D55">
      <w:rPr>
        <w:rFonts w:asciiTheme="minorHAnsi" w:hAnsiTheme="minorHAnsi"/>
        <w:noProof/>
        <w:color w:val="595959" w:themeColor="text1" w:themeTint="A6"/>
      </w:rPr>
      <w:t>13</w:t>
    </w:r>
    <w:r w:rsidRPr="006E1993">
      <w:rPr>
        <w:rFonts w:asciiTheme="minorHAnsi" w:hAnsiTheme="minorHAnsi"/>
        <w:noProof/>
        <w:color w:val="595959" w:themeColor="text1" w:themeTint="A6"/>
      </w:rPr>
      <w:fldChar w:fldCharType="end"/>
    </w:r>
    <w:r>
      <w:rPr>
        <w:rFonts w:asciiTheme="minorHAnsi" w:hAnsiTheme="minorHAnsi"/>
        <w:noProof/>
        <w:color w:val="595959" w:themeColor="text1" w:themeTint="A6"/>
      </w:rPr>
      <w:tab/>
    </w:r>
    <w:r>
      <w:rPr>
        <w:rFonts w:asciiTheme="minorHAnsi" w:hAnsiTheme="minorHAnsi"/>
        <w:noProof/>
        <w:color w:val="595959" w:themeColor="text1" w:themeTint="A6"/>
      </w:rPr>
      <w:tab/>
    </w:r>
    <w:r w:rsidRPr="00B64D16">
      <w:rPr>
        <w:rFonts w:asciiTheme="minorHAnsi" w:hAnsiTheme="minorHAnsi"/>
        <w:noProof/>
        <w:color w:val="595959" w:themeColor="text1" w:themeTint="A6"/>
        <w:sz w:val="18"/>
        <w:szCs w:val="18"/>
      </w:rPr>
      <w:t>INFORME DE COYUNTURA</w:t>
    </w:r>
    <w:r>
      <w:rPr>
        <w:rFonts w:asciiTheme="minorHAnsi" w:hAnsiTheme="minorHAnsi"/>
        <w:noProof/>
        <w:color w:val="595959" w:themeColor="text1" w:themeTint="A6"/>
        <w:sz w:val="18"/>
        <w:szCs w:val="18"/>
      </w:rPr>
      <w:t xml:space="preserve"> - I</w:t>
    </w:r>
    <w:r w:rsidRPr="00B64D16">
      <w:rPr>
        <w:rFonts w:asciiTheme="minorHAnsi" w:hAnsiTheme="minorHAnsi"/>
        <w:noProof/>
        <w:color w:val="595959" w:themeColor="text1" w:themeTint="A6"/>
        <w:sz w:val="18"/>
        <w:szCs w:val="18"/>
      </w:rPr>
      <w:t xml:space="preserve"> T</w:t>
    </w:r>
    <w:r w:rsidR="00047379">
      <w:rPr>
        <w:rFonts w:asciiTheme="minorHAnsi" w:hAnsiTheme="minorHAnsi"/>
        <w:noProof/>
        <w:color w:val="595959" w:themeColor="text1" w:themeTint="A6"/>
        <w:sz w:val="18"/>
        <w:szCs w:val="18"/>
      </w:rPr>
      <w:t>rimestre</w:t>
    </w:r>
    <w:r>
      <w:rPr>
        <w:rFonts w:asciiTheme="minorHAnsi" w:hAnsiTheme="minorHAnsi"/>
        <w:noProof/>
        <w:color w:val="595959" w:themeColor="text1" w:themeTint="A6"/>
        <w:sz w:val="18"/>
        <w:szCs w:val="18"/>
      </w:rPr>
      <w:t xml:space="preserve"> 20</w:t>
    </w:r>
    <w:r w:rsidR="00DD7C98">
      <w:rPr>
        <w:rFonts w:asciiTheme="minorHAnsi" w:hAnsiTheme="minorHAnsi"/>
        <w:noProof/>
        <w:color w:val="595959" w:themeColor="text1" w:themeTint="A6"/>
        <w:sz w:val="18"/>
        <w:szCs w:val="18"/>
      </w:rPr>
      <w:t>2</w:t>
    </w:r>
    <w:r w:rsidR="00C877EE">
      <w:rPr>
        <w:rFonts w:asciiTheme="minorHAnsi" w:hAnsiTheme="minorHAnsi"/>
        <w:noProof/>
        <w:color w:val="595959" w:themeColor="text1" w:themeTint="A6"/>
        <w:sz w:val="18"/>
        <w:szCs w:val="18"/>
      </w:rPr>
      <w:t>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Default="009B4D20">
    <w:pPr>
      <w:pStyle w:val="Piedepgina"/>
      <w:jc w:val="right"/>
    </w:pPr>
  </w:p>
  <w:p w:rsidR="009B4D20" w:rsidRDefault="009B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D20" w:rsidRDefault="009B4D20">
      <w:r>
        <w:separator/>
      </w:r>
    </w:p>
  </w:footnote>
  <w:footnote w:type="continuationSeparator" w:id="0">
    <w:p w:rsidR="009B4D20" w:rsidRDefault="009B4D20">
      <w:r>
        <w:continuationSeparator/>
      </w:r>
    </w:p>
  </w:footnote>
  <w:footnote w:id="1">
    <w:p w:rsidR="009B4D20" w:rsidRPr="00696671" w:rsidRDefault="009B4D20" w:rsidP="00132F9F">
      <w:pPr>
        <w:pStyle w:val="Textonotapie"/>
        <w:rPr>
          <w:rFonts w:asciiTheme="minorHAnsi" w:hAnsiTheme="minorHAnsi" w:cstheme="minorHAnsi"/>
        </w:rPr>
      </w:pPr>
      <w:r w:rsidRPr="00696671">
        <w:rPr>
          <w:rStyle w:val="Refdenotaalpie"/>
          <w:rFonts w:asciiTheme="minorHAnsi" w:hAnsiTheme="minorHAnsi" w:cstheme="minorHAnsi"/>
        </w:rPr>
        <w:footnoteRef/>
      </w:r>
      <w:r w:rsidRPr="00696671">
        <w:rPr>
          <w:rFonts w:asciiTheme="minorHAnsi" w:hAnsiTheme="minorHAnsi" w:cstheme="minorHAnsi"/>
        </w:rPr>
        <w:t xml:space="preserve"> Para algunas Jurisdicciones la información presentada constituye una proyección que se actualiza a medida que divulgan sus datos. En atención a ello se destaca que el presente informe se efectúa con los datos de ejecución presupuestaria </w:t>
      </w:r>
      <w:r w:rsidR="001379B6" w:rsidRPr="00696671">
        <w:rPr>
          <w:rFonts w:asciiTheme="minorHAnsi" w:hAnsiTheme="minorHAnsi" w:cstheme="minorHAnsi"/>
        </w:rPr>
        <w:t xml:space="preserve">publicados al </w:t>
      </w:r>
      <w:r w:rsidR="005F33B4">
        <w:rPr>
          <w:rFonts w:asciiTheme="minorHAnsi" w:hAnsiTheme="minorHAnsi" w:cstheme="minorHAnsi"/>
        </w:rPr>
        <w:t xml:space="preserve">mes de </w:t>
      </w:r>
      <w:r w:rsidR="00D14BD9">
        <w:rPr>
          <w:rFonts w:asciiTheme="minorHAnsi" w:hAnsiTheme="minorHAnsi" w:cstheme="minorHAnsi"/>
        </w:rPr>
        <w:t>septiembre</w:t>
      </w:r>
      <w:r w:rsidR="005F33B4">
        <w:rPr>
          <w:rFonts w:asciiTheme="minorHAnsi" w:hAnsiTheme="minorHAnsi" w:cstheme="minorHAnsi"/>
        </w:rPr>
        <w:t xml:space="preserve"> de 20</w:t>
      </w:r>
      <w:r w:rsidR="000B14A7">
        <w:rPr>
          <w:rFonts w:asciiTheme="minorHAnsi" w:hAnsiTheme="minorHAnsi" w:cstheme="minorHAnsi"/>
        </w:rPr>
        <w:t>2</w:t>
      </w:r>
      <w:r w:rsidR="00745967">
        <w:rPr>
          <w:rFonts w:asciiTheme="minorHAnsi" w:hAnsiTheme="minorHAnsi" w:cstheme="minorHAnsi"/>
        </w:rPr>
        <w:t>2</w:t>
      </w:r>
      <w:r w:rsidRPr="00696671">
        <w:rPr>
          <w:rFonts w:asciiTheme="minorHAnsi" w:hAnsiTheme="minorHAnsi" w:cstheme="minorHAnsi"/>
        </w:rPr>
        <w:t>.</w:t>
      </w:r>
    </w:p>
  </w:footnote>
  <w:footnote w:id="2">
    <w:p w:rsidR="00332D55" w:rsidRDefault="00332D55" w:rsidP="00332D55">
      <w:pPr>
        <w:pStyle w:val="Textonotapie"/>
        <w:jc w:val="both"/>
        <w:rPr>
          <w:rFonts w:asciiTheme="minorHAnsi" w:hAnsiTheme="minorHAnsi" w:cstheme="minorHAnsi"/>
        </w:rPr>
      </w:pPr>
      <w:r>
        <w:rPr>
          <w:rStyle w:val="Refdenotaalpie"/>
          <w:rFonts w:asciiTheme="minorHAnsi" w:hAnsiTheme="minorHAnsi" w:cstheme="minorHAnsi"/>
        </w:rPr>
        <w:footnoteRef/>
      </w:r>
      <w:r>
        <w:rPr>
          <w:rFonts w:asciiTheme="minorHAnsi" w:hAnsiTheme="minorHAnsi" w:cstheme="minorHAnsi"/>
        </w:rPr>
        <w:t xml:space="preserve"> Incluye Ingresos Tributarios Provinciales, No Tributarios, Contribuciones a la Seguridad Social, Rentas de la Propiedad, Venta de Bienes y Servicios, Recursos Propios de Capital y Disminución de Inversión Financiera.</w:t>
      </w:r>
    </w:p>
  </w:footnote>
  <w:footnote w:id="3">
    <w:p w:rsidR="007654F9" w:rsidRPr="00696671" w:rsidRDefault="007654F9" w:rsidP="007654F9">
      <w:pPr>
        <w:pStyle w:val="Textonotapie"/>
        <w:jc w:val="both"/>
        <w:rPr>
          <w:rFonts w:asciiTheme="minorHAnsi" w:hAnsiTheme="minorHAnsi" w:cstheme="minorHAnsi"/>
          <w:lang w:val="es-AR"/>
        </w:rPr>
      </w:pPr>
      <w:r w:rsidRPr="00696671">
        <w:rPr>
          <w:rStyle w:val="Refdenotaalpie"/>
          <w:rFonts w:asciiTheme="minorHAnsi" w:hAnsiTheme="minorHAnsi" w:cstheme="minorHAnsi"/>
        </w:rPr>
        <w:footnoteRef/>
      </w:r>
      <w:r w:rsidRPr="00696671">
        <w:rPr>
          <w:rFonts w:asciiTheme="minorHAnsi" w:hAnsiTheme="minorHAnsi" w:cstheme="minorHAnsi"/>
        </w:rPr>
        <w:t xml:space="preserve"> </w:t>
      </w:r>
      <w:r w:rsidRPr="00696671">
        <w:rPr>
          <w:rFonts w:asciiTheme="minorHAnsi" w:hAnsiTheme="minorHAnsi" w:cstheme="minorHAns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w:t>
      </w:r>
      <w:r>
        <w:rPr>
          <w:rFonts w:asciiTheme="minorHAnsi" w:hAnsiTheme="minorHAnsi" w:cstheme="minorHAnsi"/>
          <w:lang w:val="es-AR"/>
        </w:rPr>
        <w:t>z, Santa Fe y Tierra del Fuego.</w:t>
      </w:r>
    </w:p>
  </w:footnote>
  <w:footnote w:id="4">
    <w:p w:rsidR="00FE5BE5" w:rsidRPr="00696671" w:rsidRDefault="00FE5BE5" w:rsidP="00FE5BE5">
      <w:pPr>
        <w:pStyle w:val="Textonotapie"/>
        <w:rPr>
          <w:rFonts w:asciiTheme="minorHAnsi" w:hAnsiTheme="minorHAnsi" w:cstheme="minorHAnsi"/>
          <w:lang w:val="es-AR"/>
        </w:rPr>
      </w:pPr>
      <w:r w:rsidRPr="00696671">
        <w:rPr>
          <w:rStyle w:val="Refdenotaalpie"/>
          <w:rFonts w:asciiTheme="minorHAnsi" w:hAnsiTheme="minorHAnsi" w:cstheme="minorHAnsi"/>
        </w:rPr>
        <w:footnoteRef/>
      </w:r>
      <w:r w:rsidRPr="00696671">
        <w:rPr>
          <w:rFonts w:asciiTheme="minorHAnsi" w:hAnsiTheme="minorHAnsi" w:cstheme="minorHAnsi"/>
        </w:rPr>
        <w:t xml:space="preserve"> Cabe señalar que 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Default="009B4D20" w:rsidP="00EC0703">
    <w:pPr>
      <w:pStyle w:val="Encabezado"/>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F0DB2"/>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EE347A9"/>
    <w:multiLevelType w:val="hybridMultilevel"/>
    <w:tmpl w:val="3E9AF40E"/>
    <w:lvl w:ilvl="0" w:tplc="51D4B48E">
      <w:start w:val="1"/>
      <w:numFmt w:val="upperRoman"/>
      <w:pStyle w:val="Ttulo1"/>
      <w:lvlText w:val="%1."/>
      <w:lvlJc w:val="left"/>
      <w:pPr>
        <w:ind w:left="1080" w:hanging="72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FA7368E"/>
    <w:multiLevelType w:val="hybridMultilevel"/>
    <w:tmpl w:val="643476D0"/>
    <w:lvl w:ilvl="0" w:tplc="4830CB4E">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4" w15:restartNumberingAfterBreak="0">
    <w:nsid w:val="0FB95335"/>
    <w:multiLevelType w:val="hybridMultilevel"/>
    <w:tmpl w:val="1F8C97F2"/>
    <w:lvl w:ilvl="0" w:tplc="9C74966E">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28F3515"/>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213408D5"/>
    <w:multiLevelType w:val="hybridMultilevel"/>
    <w:tmpl w:val="6A70D060"/>
    <w:lvl w:ilvl="0" w:tplc="43C692B4">
      <w:start w:val="3"/>
      <w:numFmt w:val="upperRoman"/>
      <w:lvlText w:val="%1."/>
      <w:lvlJc w:val="left"/>
      <w:pPr>
        <w:ind w:left="1800" w:hanging="720"/>
      </w:pPr>
      <w:rPr>
        <w:rFonts w:hint="default"/>
        <w:color w:val="595959" w:themeColor="text1" w:themeTint="A6"/>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9"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C35D7C"/>
    <w:multiLevelType w:val="hybridMultilevel"/>
    <w:tmpl w:val="89809932"/>
    <w:lvl w:ilvl="0" w:tplc="4FACE1AE">
      <w:start w:val="4"/>
      <w:numFmt w:val="decimal"/>
      <w:lvlText w:val="%1."/>
      <w:lvlJc w:val="left"/>
      <w:pPr>
        <w:ind w:left="720" w:hanging="360"/>
      </w:pPr>
      <w:rPr>
        <w:rFonts w:hint="default"/>
        <w:b/>
        <w:sz w:val="32"/>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5D5233F"/>
    <w:multiLevelType w:val="hybridMultilevel"/>
    <w:tmpl w:val="AFA83C3E"/>
    <w:lvl w:ilvl="0" w:tplc="51D4B48E">
      <w:start w:val="1"/>
      <w:numFmt w:val="upperRoman"/>
      <w:lvlText w:val="%1."/>
      <w:lvlJc w:val="left"/>
      <w:pPr>
        <w:ind w:left="1080" w:hanging="720"/>
      </w:pPr>
      <w:rPr>
        <w:rFonts w:hint="default"/>
      </w:rPr>
    </w:lvl>
    <w:lvl w:ilvl="1" w:tplc="6ED8E1B8">
      <w:start w:val="1"/>
      <w:numFmt w:val="decimal"/>
      <w:lvlText w:val="%2."/>
      <w:lvlJc w:val="left"/>
      <w:pPr>
        <w:ind w:left="1440" w:hanging="360"/>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77A2EE8"/>
    <w:multiLevelType w:val="hybridMultilevel"/>
    <w:tmpl w:val="EF80C268"/>
    <w:lvl w:ilvl="0" w:tplc="2C0A000F">
      <w:start w:val="2"/>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B7B4F8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4" w15:restartNumberingAfterBreak="0">
    <w:nsid w:val="2DBB0834"/>
    <w:multiLevelType w:val="hybridMultilevel"/>
    <w:tmpl w:val="E30CBF94"/>
    <w:lvl w:ilvl="0" w:tplc="00F8A326">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30573EAB"/>
    <w:multiLevelType w:val="multilevel"/>
    <w:tmpl w:val="09101C56"/>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25A40DC"/>
    <w:multiLevelType w:val="multilevel"/>
    <w:tmpl w:val="E03019DC"/>
    <w:lvl w:ilvl="0">
      <w:start w:val="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45173A0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9" w15:restartNumberingAfterBreak="0">
    <w:nsid w:val="46DC35A6"/>
    <w:multiLevelType w:val="hybridMultilevel"/>
    <w:tmpl w:val="813EC226"/>
    <w:lvl w:ilvl="0" w:tplc="72EC4B5C">
      <w:start w:val="3"/>
      <w:numFmt w:val="upperRoman"/>
      <w:lvlText w:val="%1."/>
      <w:lvlJc w:val="left"/>
      <w:pPr>
        <w:ind w:left="1800" w:hanging="720"/>
      </w:pPr>
      <w:rPr>
        <w:rFonts w:hint="default"/>
        <w:color w:val="595959" w:themeColor="text1" w:themeTint="A6"/>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0" w15:restartNumberingAfterBreak="0">
    <w:nsid w:val="4B5B16BA"/>
    <w:multiLevelType w:val="multilevel"/>
    <w:tmpl w:val="32543F38"/>
    <w:lvl w:ilvl="0">
      <w:start w:val="2"/>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15:restartNumberingAfterBreak="0">
    <w:nsid w:val="569019BA"/>
    <w:multiLevelType w:val="hybridMultilevel"/>
    <w:tmpl w:val="283AA0A4"/>
    <w:lvl w:ilvl="0" w:tplc="2CF646DA">
      <w:start w:val="1"/>
      <w:numFmt w:val="decimal"/>
      <w:lvlText w:val="%1."/>
      <w:lvlJc w:val="left"/>
      <w:pPr>
        <w:ind w:left="720" w:hanging="360"/>
      </w:pPr>
      <w:rPr>
        <w:rFonts w:hint="default"/>
        <w:color w:val="595959" w:themeColor="text1" w:themeTint="A6"/>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15:restartNumberingAfterBreak="0">
    <w:nsid w:val="5A0E194B"/>
    <w:multiLevelType w:val="multilevel"/>
    <w:tmpl w:val="EF74FBC2"/>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8C77811"/>
    <w:multiLevelType w:val="hybridMultilevel"/>
    <w:tmpl w:val="95BE3E1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6CE01F79"/>
    <w:multiLevelType w:val="hybridMultilevel"/>
    <w:tmpl w:val="8C04E32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6D226DB2"/>
    <w:multiLevelType w:val="hybridMultilevel"/>
    <w:tmpl w:val="54CEC820"/>
    <w:lvl w:ilvl="0" w:tplc="A4F82D46">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cs="Arial" w:hint="default"/>
        <w:sz w:val="2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0876B7"/>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30" w15:restartNumberingAfterBreak="0">
    <w:nsid w:val="73C46DE5"/>
    <w:multiLevelType w:val="hybridMultilevel"/>
    <w:tmpl w:val="32568C0E"/>
    <w:lvl w:ilvl="0" w:tplc="9BA0DEBC">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C354131"/>
    <w:multiLevelType w:val="hybridMultilevel"/>
    <w:tmpl w:val="BF68A070"/>
    <w:lvl w:ilvl="0" w:tplc="2C0A000F">
      <w:start w:val="4"/>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9"/>
  </w:num>
  <w:num w:numId="2">
    <w:abstractNumId w:val="28"/>
  </w:num>
  <w:num w:numId="3">
    <w:abstractNumId w:val="6"/>
  </w:num>
  <w:num w:numId="4">
    <w:abstractNumId w:val="1"/>
  </w:num>
  <w:num w:numId="5">
    <w:abstractNumId w:val="7"/>
  </w:num>
  <w:num w:numId="6">
    <w:abstractNumId w:val="16"/>
  </w:num>
  <w:num w:numId="7">
    <w:abstractNumId w:val="15"/>
  </w:num>
  <w:num w:numId="8">
    <w:abstractNumId w:val="25"/>
  </w:num>
  <w:num w:numId="9">
    <w:abstractNumId w:val="10"/>
  </w:num>
  <w:num w:numId="10">
    <w:abstractNumId w:val="24"/>
  </w:num>
  <w:num w:numId="11">
    <w:abstractNumId w:val="5"/>
  </w:num>
  <w:num w:numId="12">
    <w:abstractNumId w:val="21"/>
  </w:num>
  <w:num w:numId="13">
    <w:abstractNumId w:val="18"/>
  </w:num>
  <w:num w:numId="14">
    <w:abstractNumId w:val="12"/>
  </w:num>
  <w:num w:numId="15">
    <w:abstractNumId w:val="32"/>
  </w:num>
  <w:num w:numId="16">
    <w:abstractNumId w:val="17"/>
  </w:num>
  <w:num w:numId="17">
    <w:abstractNumId w:val="20"/>
  </w:num>
  <w:num w:numId="18">
    <w:abstractNumId w:val="23"/>
  </w:num>
  <w:num w:numId="19">
    <w:abstractNumId w:val="0"/>
  </w:num>
  <w:num w:numId="20">
    <w:abstractNumId w:val="29"/>
  </w:num>
  <w:num w:numId="21">
    <w:abstractNumId w:val="13"/>
  </w:num>
  <w:num w:numId="22">
    <w:abstractNumId w:val="27"/>
  </w:num>
  <w:num w:numId="23">
    <w:abstractNumId w:val="22"/>
  </w:num>
  <w:num w:numId="24">
    <w:abstractNumId w:val="4"/>
  </w:num>
  <w:num w:numId="25">
    <w:abstractNumId w:val="2"/>
  </w:num>
  <w:num w:numId="26">
    <w:abstractNumId w:val="19"/>
  </w:num>
  <w:num w:numId="27">
    <w:abstractNumId w:val="8"/>
  </w:num>
  <w:num w:numId="28">
    <w:abstractNumId w:val="2"/>
  </w:num>
  <w:num w:numId="29">
    <w:abstractNumId w:val="2"/>
  </w:num>
  <w:num w:numId="30">
    <w:abstractNumId w:val="11"/>
  </w:num>
  <w:num w:numId="31">
    <w:abstractNumId w:val="3"/>
  </w:num>
  <w:num w:numId="32">
    <w:abstractNumId w:val="11"/>
  </w:num>
  <w:num w:numId="33">
    <w:abstractNumId w:val="2"/>
  </w:num>
  <w:num w:numId="34">
    <w:abstractNumId w:val="26"/>
  </w:num>
  <w:num w:numId="35">
    <w:abstractNumId w:val="2"/>
  </w:num>
  <w:num w:numId="36">
    <w:abstractNumId w:val="2"/>
  </w:num>
  <w:num w:numId="37">
    <w:abstractNumId w:val="30"/>
  </w:num>
  <w:num w:numId="38">
    <w:abstractNumId w:val="14"/>
  </w:num>
  <w:num w:numId="39">
    <w:abstractNumId w:val="14"/>
  </w:num>
  <w:num w:numId="40">
    <w:abstractNumId w:val="14"/>
  </w:num>
  <w:num w:numId="41">
    <w:abstractNumId w:val="14"/>
  </w:num>
  <w:num w:numId="42">
    <w:abstractNumId w:val="2"/>
  </w:num>
  <w:num w:numId="43">
    <w:abstractNumId w:val="2"/>
  </w:num>
  <w:num w:numId="44">
    <w:abstractNumId w:val="2"/>
  </w:num>
  <w:num w:numId="45">
    <w:abstractNumId w:val="2"/>
  </w:num>
  <w:num w:numId="46">
    <w:abstractNumId w:val="31"/>
  </w:num>
  <w:num w:numId="47">
    <w:abstractNumId w:val="2"/>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134145">
      <o:colormru v:ext="edit" colors="#06c"/>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703"/>
    <w:rsid w:val="00000B01"/>
    <w:rsid w:val="00003262"/>
    <w:rsid w:val="00005B8D"/>
    <w:rsid w:val="00006415"/>
    <w:rsid w:val="0000691A"/>
    <w:rsid w:val="00006FFE"/>
    <w:rsid w:val="000070C0"/>
    <w:rsid w:val="00007FE3"/>
    <w:rsid w:val="00010650"/>
    <w:rsid w:val="00011A9E"/>
    <w:rsid w:val="00012CF8"/>
    <w:rsid w:val="0001442A"/>
    <w:rsid w:val="00015A46"/>
    <w:rsid w:val="00016B65"/>
    <w:rsid w:val="00017E9B"/>
    <w:rsid w:val="000203BE"/>
    <w:rsid w:val="00021206"/>
    <w:rsid w:val="0002129C"/>
    <w:rsid w:val="00021922"/>
    <w:rsid w:val="000226DD"/>
    <w:rsid w:val="000228AE"/>
    <w:rsid w:val="00022CA8"/>
    <w:rsid w:val="00023A01"/>
    <w:rsid w:val="0002551C"/>
    <w:rsid w:val="000269B4"/>
    <w:rsid w:val="00027D12"/>
    <w:rsid w:val="0003061E"/>
    <w:rsid w:val="00030B5B"/>
    <w:rsid w:val="000314E2"/>
    <w:rsid w:val="000314F5"/>
    <w:rsid w:val="00033A94"/>
    <w:rsid w:val="00035B7A"/>
    <w:rsid w:val="00036127"/>
    <w:rsid w:val="0004003A"/>
    <w:rsid w:val="00040D0A"/>
    <w:rsid w:val="00041505"/>
    <w:rsid w:val="00041E13"/>
    <w:rsid w:val="00042FC5"/>
    <w:rsid w:val="00044950"/>
    <w:rsid w:val="0004598E"/>
    <w:rsid w:val="00045B8F"/>
    <w:rsid w:val="000467AA"/>
    <w:rsid w:val="00046D11"/>
    <w:rsid w:val="00047379"/>
    <w:rsid w:val="00047C4B"/>
    <w:rsid w:val="0005057E"/>
    <w:rsid w:val="000511E3"/>
    <w:rsid w:val="00052871"/>
    <w:rsid w:val="000545D3"/>
    <w:rsid w:val="00061BF8"/>
    <w:rsid w:val="000621E3"/>
    <w:rsid w:val="0006246B"/>
    <w:rsid w:val="00062B32"/>
    <w:rsid w:val="00063496"/>
    <w:rsid w:val="0006374F"/>
    <w:rsid w:val="00063BAC"/>
    <w:rsid w:val="00063F07"/>
    <w:rsid w:val="0006592F"/>
    <w:rsid w:val="0006663A"/>
    <w:rsid w:val="000671EE"/>
    <w:rsid w:val="0006792C"/>
    <w:rsid w:val="00070F4E"/>
    <w:rsid w:val="000713BA"/>
    <w:rsid w:val="000716F2"/>
    <w:rsid w:val="0007326B"/>
    <w:rsid w:val="000745B2"/>
    <w:rsid w:val="0007490F"/>
    <w:rsid w:val="00075A36"/>
    <w:rsid w:val="00077161"/>
    <w:rsid w:val="00081E2C"/>
    <w:rsid w:val="00082151"/>
    <w:rsid w:val="000834B3"/>
    <w:rsid w:val="0008397B"/>
    <w:rsid w:val="00083E05"/>
    <w:rsid w:val="000847FA"/>
    <w:rsid w:val="00084B6C"/>
    <w:rsid w:val="00085373"/>
    <w:rsid w:val="00086845"/>
    <w:rsid w:val="0008730A"/>
    <w:rsid w:val="00087761"/>
    <w:rsid w:val="00087782"/>
    <w:rsid w:val="000906E1"/>
    <w:rsid w:val="00090C89"/>
    <w:rsid w:val="00090F74"/>
    <w:rsid w:val="00090FA1"/>
    <w:rsid w:val="00091393"/>
    <w:rsid w:val="00092001"/>
    <w:rsid w:val="00092275"/>
    <w:rsid w:val="000923E1"/>
    <w:rsid w:val="000932B2"/>
    <w:rsid w:val="00094442"/>
    <w:rsid w:val="00094CD9"/>
    <w:rsid w:val="00096670"/>
    <w:rsid w:val="000971AB"/>
    <w:rsid w:val="000A05E5"/>
    <w:rsid w:val="000A06CC"/>
    <w:rsid w:val="000A0B80"/>
    <w:rsid w:val="000A2758"/>
    <w:rsid w:val="000A2CA7"/>
    <w:rsid w:val="000B0A1E"/>
    <w:rsid w:val="000B1367"/>
    <w:rsid w:val="000B14A7"/>
    <w:rsid w:val="000B1C10"/>
    <w:rsid w:val="000B2065"/>
    <w:rsid w:val="000B2101"/>
    <w:rsid w:val="000B2607"/>
    <w:rsid w:val="000B2D3B"/>
    <w:rsid w:val="000B5E01"/>
    <w:rsid w:val="000B5E54"/>
    <w:rsid w:val="000B6D14"/>
    <w:rsid w:val="000B7969"/>
    <w:rsid w:val="000C0E18"/>
    <w:rsid w:val="000C0F3D"/>
    <w:rsid w:val="000C0F59"/>
    <w:rsid w:val="000C2071"/>
    <w:rsid w:val="000C30A4"/>
    <w:rsid w:val="000C5318"/>
    <w:rsid w:val="000C53CB"/>
    <w:rsid w:val="000C59A5"/>
    <w:rsid w:val="000C5CD8"/>
    <w:rsid w:val="000C6A50"/>
    <w:rsid w:val="000C731C"/>
    <w:rsid w:val="000D086F"/>
    <w:rsid w:val="000D0B19"/>
    <w:rsid w:val="000D0BDD"/>
    <w:rsid w:val="000D18C6"/>
    <w:rsid w:val="000D22B2"/>
    <w:rsid w:val="000D2D26"/>
    <w:rsid w:val="000D3BF3"/>
    <w:rsid w:val="000D5BFD"/>
    <w:rsid w:val="000D65EE"/>
    <w:rsid w:val="000E25FC"/>
    <w:rsid w:val="000E3F48"/>
    <w:rsid w:val="000E540C"/>
    <w:rsid w:val="000E5BEA"/>
    <w:rsid w:val="000E64CD"/>
    <w:rsid w:val="000E64E1"/>
    <w:rsid w:val="000F07D5"/>
    <w:rsid w:val="000F1A21"/>
    <w:rsid w:val="000F1BA9"/>
    <w:rsid w:val="000F240E"/>
    <w:rsid w:val="000F24B7"/>
    <w:rsid w:val="000F2D3C"/>
    <w:rsid w:val="000F2F68"/>
    <w:rsid w:val="000F344A"/>
    <w:rsid w:val="000F3529"/>
    <w:rsid w:val="000F49D8"/>
    <w:rsid w:val="000F67AF"/>
    <w:rsid w:val="000F7364"/>
    <w:rsid w:val="000F7545"/>
    <w:rsid w:val="000F78CC"/>
    <w:rsid w:val="000F7F22"/>
    <w:rsid w:val="0010084A"/>
    <w:rsid w:val="00101BAB"/>
    <w:rsid w:val="00103FEB"/>
    <w:rsid w:val="001043AB"/>
    <w:rsid w:val="00104EBF"/>
    <w:rsid w:val="00105AC9"/>
    <w:rsid w:val="00105BB9"/>
    <w:rsid w:val="00105E53"/>
    <w:rsid w:val="001060CF"/>
    <w:rsid w:val="001067DD"/>
    <w:rsid w:val="00107891"/>
    <w:rsid w:val="00107C3F"/>
    <w:rsid w:val="00110612"/>
    <w:rsid w:val="001123E3"/>
    <w:rsid w:val="00113927"/>
    <w:rsid w:val="001139CA"/>
    <w:rsid w:val="0011453B"/>
    <w:rsid w:val="0011526E"/>
    <w:rsid w:val="00115E59"/>
    <w:rsid w:val="001172B1"/>
    <w:rsid w:val="001172DC"/>
    <w:rsid w:val="00121185"/>
    <w:rsid w:val="00121C03"/>
    <w:rsid w:val="00122211"/>
    <w:rsid w:val="00122A4D"/>
    <w:rsid w:val="00123DE9"/>
    <w:rsid w:val="001243E4"/>
    <w:rsid w:val="00125230"/>
    <w:rsid w:val="00125744"/>
    <w:rsid w:val="00125ED4"/>
    <w:rsid w:val="0013022B"/>
    <w:rsid w:val="00130E63"/>
    <w:rsid w:val="0013102A"/>
    <w:rsid w:val="00131F12"/>
    <w:rsid w:val="0013284F"/>
    <w:rsid w:val="00132F9F"/>
    <w:rsid w:val="00133208"/>
    <w:rsid w:val="00133542"/>
    <w:rsid w:val="0013458E"/>
    <w:rsid w:val="00134856"/>
    <w:rsid w:val="00134974"/>
    <w:rsid w:val="0013582A"/>
    <w:rsid w:val="00135EB4"/>
    <w:rsid w:val="00135F25"/>
    <w:rsid w:val="001364E3"/>
    <w:rsid w:val="00136538"/>
    <w:rsid w:val="001379B6"/>
    <w:rsid w:val="00141780"/>
    <w:rsid w:val="00142052"/>
    <w:rsid w:val="00143F8F"/>
    <w:rsid w:val="001446AA"/>
    <w:rsid w:val="00145BC0"/>
    <w:rsid w:val="00147FB0"/>
    <w:rsid w:val="00150B5C"/>
    <w:rsid w:val="0015186B"/>
    <w:rsid w:val="00156FFF"/>
    <w:rsid w:val="00157C43"/>
    <w:rsid w:val="00157CC0"/>
    <w:rsid w:val="0016101B"/>
    <w:rsid w:val="00161670"/>
    <w:rsid w:val="001621B5"/>
    <w:rsid w:val="001621D6"/>
    <w:rsid w:val="00164B21"/>
    <w:rsid w:val="00164D49"/>
    <w:rsid w:val="001661A5"/>
    <w:rsid w:val="0017104B"/>
    <w:rsid w:val="001724AD"/>
    <w:rsid w:val="00174CC3"/>
    <w:rsid w:val="001774DE"/>
    <w:rsid w:val="00177A46"/>
    <w:rsid w:val="00177F4B"/>
    <w:rsid w:val="001800F4"/>
    <w:rsid w:val="0018032F"/>
    <w:rsid w:val="00180939"/>
    <w:rsid w:val="00182A22"/>
    <w:rsid w:val="00183BDB"/>
    <w:rsid w:val="00183E98"/>
    <w:rsid w:val="001842D9"/>
    <w:rsid w:val="001846DD"/>
    <w:rsid w:val="00184DDD"/>
    <w:rsid w:val="001850B4"/>
    <w:rsid w:val="001859A6"/>
    <w:rsid w:val="00185D70"/>
    <w:rsid w:val="00190D88"/>
    <w:rsid w:val="00192007"/>
    <w:rsid w:val="00192122"/>
    <w:rsid w:val="00192589"/>
    <w:rsid w:val="0019380C"/>
    <w:rsid w:val="00195050"/>
    <w:rsid w:val="00195233"/>
    <w:rsid w:val="001953A5"/>
    <w:rsid w:val="00195CD8"/>
    <w:rsid w:val="001966F3"/>
    <w:rsid w:val="00196AE4"/>
    <w:rsid w:val="00197334"/>
    <w:rsid w:val="00197A84"/>
    <w:rsid w:val="00197B14"/>
    <w:rsid w:val="001A0136"/>
    <w:rsid w:val="001A2744"/>
    <w:rsid w:val="001A27C6"/>
    <w:rsid w:val="001A2A39"/>
    <w:rsid w:val="001A329C"/>
    <w:rsid w:val="001A3613"/>
    <w:rsid w:val="001A4CD4"/>
    <w:rsid w:val="001A5164"/>
    <w:rsid w:val="001A6C07"/>
    <w:rsid w:val="001B2015"/>
    <w:rsid w:val="001B3F6A"/>
    <w:rsid w:val="001B416C"/>
    <w:rsid w:val="001B473E"/>
    <w:rsid w:val="001B4996"/>
    <w:rsid w:val="001B678B"/>
    <w:rsid w:val="001B6A1A"/>
    <w:rsid w:val="001B7C37"/>
    <w:rsid w:val="001C106E"/>
    <w:rsid w:val="001C10A8"/>
    <w:rsid w:val="001C34A2"/>
    <w:rsid w:val="001C3D57"/>
    <w:rsid w:val="001C3F95"/>
    <w:rsid w:val="001C4045"/>
    <w:rsid w:val="001C41D3"/>
    <w:rsid w:val="001C50A1"/>
    <w:rsid w:val="001C52FB"/>
    <w:rsid w:val="001C61A8"/>
    <w:rsid w:val="001C6DF9"/>
    <w:rsid w:val="001C75E6"/>
    <w:rsid w:val="001C7D32"/>
    <w:rsid w:val="001D009C"/>
    <w:rsid w:val="001D0819"/>
    <w:rsid w:val="001D1F5E"/>
    <w:rsid w:val="001D2CFC"/>
    <w:rsid w:val="001D3FCE"/>
    <w:rsid w:val="001D44A6"/>
    <w:rsid w:val="001D7E1F"/>
    <w:rsid w:val="001E0AE3"/>
    <w:rsid w:val="001E28D6"/>
    <w:rsid w:val="001E2F81"/>
    <w:rsid w:val="001E32DA"/>
    <w:rsid w:val="001E4421"/>
    <w:rsid w:val="001E5A6D"/>
    <w:rsid w:val="001E633F"/>
    <w:rsid w:val="001E6A54"/>
    <w:rsid w:val="001E7B71"/>
    <w:rsid w:val="001F0535"/>
    <w:rsid w:val="001F1126"/>
    <w:rsid w:val="001F2807"/>
    <w:rsid w:val="001F5180"/>
    <w:rsid w:val="001F5832"/>
    <w:rsid w:val="001F59B8"/>
    <w:rsid w:val="001F5BFF"/>
    <w:rsid w:val="001F687C"/>
    <w:rsid w:val="001F7449"/>
    <w:rsid w:val="00201088"/>
    <w:rsid w:val="00201F75"/>
    <w:rsid w:val="0020215C"/>
    <w:rsid w:val="002023ED"/>
    <w:rsid w:val="00203719"/>
    <w:rsid w:val="00203B04"/>
    <w:rsid w:val="00203CB7"/>
    <w:rsid w:val="00204FCB"/>
    <w:rsid w:val="00207C77"/>
    <w:rsid w:val="002107EF"/>
    <w:rsid w:val="00210B9F"/>
    <w:rsid w:val="00210BD4"/>
    <w:rsid w:val="00211CA1"/>
    <w:rsid w:val="00213163"/>
    <w:rsid w:val="00214129"/>
    <w:rsid w:val="00214496"/>
    <w:rsid w:val="00214EC2"/>
    <w:rsid w:val="002163CF"/>
    <w:rsid w:val="00217CF0"/>
    <w:rsid w:val="00217E10"/>
    <w:rsid w:val="00217EF6"/>
    <w:rsid w:val="0022176F"/>
    <w:rsid w:val="00222706"/>
    <w:rsid w:val="00222E84"/>
    <w:rsid w:val="00224BEE"/>
    <w:rsid w:val="00225BFD"/>
    <w:rsid w:val="00225DB8"/>
    <w:rsid w:val="002269EE"/>
    <w:rsid w:val="002276CC"/>
    <w:rsid w:val="0023281C"/>
    <w:rsid w:val="002343DD"/>
    <w:rsid w:val="0023519E"/>
    <w:rsid w:val="00235617"/>
    <w:rsid w:val="00235F8D"/>
    <w:rsid w:val="002362F7"/>
    <w:rsid w:val="00241A70"/>
    <w:rsid w:val="00242F4D"/>
    <w:rsid w:val="00243CD3"/>
    <w:rsid w:val="00243E20"/>
    <w:rsid w:val="00245B93"/>
    <w:rsid w:val="00245C51"/>
    <w:rsid w:val="0024613E"/>
    <w:rsid w:val="002475CB"/>
    <w:rsid w:val="00247D18"/>
    <w:rsid w:val="0025017C"/>
    <w:rsid w:val="0025105E"/>
    <w:rsid w:val="00251426"/>
    <w:rsid w:val="00251615"/>
    <w:rsid w:val="00251A37"/>
    <w:rsid w:val="00251DD5"/>
    <w:rsid w:val="002543C7"/>
    <w:rsid w:val="0025674A"/>
    <w:rsid w:val="00257BB9"/>
    <w:rsid w:val="00257D02"/>
    <w:rsid w:val="00257E8D"/>
    <w:rsid w:val="00260846"/>
    <w:rsid w:val="002639F8"/>
    <w:rsid w:val="002647C9"/>
    <w:rsid w:val="002648BF"/>
    <w:rsid w:val="00264D2B"/>
    <w:rsid w:val="00266709"/>
    <w:rsid w:val="00266CA4"/>
    <w:rsid w:val="00266FB0"/>
    <w:rsid w:val="00271512"/>
    <w:rsid w:val="00271A56"/>
    <w:rsid w:val="00273867"/>
    <w:rsid w:val="00273F73"/>
    <w:rsid w:val="00275B8A"/>
    <w:rsid w:val="00276E8D"/>
    <w:rsid w:val="00277B3A"/>
    <w:rsid w:val="00281CE8"/>
    <w:rsid w:val="00281EC6"/>
    <w:rsid w:val="00285681"/>
    <w:rsid w:val="00286133"/>
    <w:rsid w:val="002870A0"/>
    <w:rsid w:val="002877F9"/>
    <w:rsid w:val="002879BA"/>
    <w:rsid w:val="00290D8A"/>
    <w:rsid w:val="00291407"/>
    <w:rsid w:val="002920C7"/>
    <w:rsid w:val="002944DC"/>
    <w:rsid w:val="002968CA"/>
    <w:rsid w:val="002979B1"/>
    <w:rsid w:val="002A027D"/>
    <w:rsid w:val="002A0C31"/>
    <w:rsid w:val="002A0F21"/>
    <w:rsid w:val="002A1082"/>
    <w:rsid w:val="002A2147"/>
    <w:rsid w:val="002A390F"/>
    <w:rsid w:val="002A4DEC"/>
    <w:rsid w:val="002A5252"/>
    <w:rsid w:val="002A579B"/>
    <w:rsid w:val="002A63A6"/>
    <w:rsid w:val="002A6E4A"/>
    <w:rsid w:val="002A708A"/>
    <w:rsid w:val="002A7352"/>
    <w:rsid w:val="002A7432"/>
    <w:rsid w:val="002B047D"/>
    <w:rsid w:val="002B0C3F"/>
    <w:rsid w:val="002B2C88"/>
    <w:rsid w:val="002B365B"/>
    <w:rsid w:val="002B409A"/>
    <w:rsid w:val="002B4417"/>
    <w:rsid w:val="002B4FD3"/>
    <w:rsid w:val="002B58F8"/>
    <w:rsid w:val="002B6DCB"/>
    <w:rsid w:val="002C063B"/>
    <w:rsid w:val="002C0B0C"/>
    <w:rsid w:val="002C247C"/>
    <w:rsid w:val="002C278F"/>
    <w:rsid w:val="002C2916"/>
    <w:rsid w:val="002C30C0"/>
    <w:rsid w:val="002C7192"/>
    <w:rsid w:val="002D05F0"/>
    <w:rsid w:val="002D0A72"/>
    <w:rsid w:val="002D11B2"/>
    <w:rsid w:val="002D1B4A"/>
    <w:rsid w:val="002D277F"/>
    <w:rsid w:val="002D6202"/>
    <w:rsid w:val="002E1C89"/>
    <w:rsid w:val="002E2245"/>
    <w:rsid w:val="002E4FDD"/>
    <w:rsid w:val="002E6ED3"/>
    <w:rsid w:val="002E773F"/>
    <w:rsid w:val="002F0750"/>
    <w:rsid w:val="002F3D2E"/>
    <w:rsid w:val="002F3F54"/>
    <w:rsid w:val="002F423B"/>
    <w:rsid w:val="002F457C"/>
    <w:rsid w:val="002F5A90"/>
    <w:rsid w:val="002F664A"/>
    <w:rsid w:val="002F7062"/>
    <w:rsid w:val="002F7077"/>
    <w:rsid w:val="003011BE"/>
    <w:rsid w:val="0030170F"/>
    <w:rsid w:val="00302A8A"/>
    <w:rsid w:val="00303702"/>
    <w:rsid w:val="00303CAD"/>
    <w:rsid w:val="00304EDE"/>
    <w:rsid w:val="00304F1E"/>
    <w:rsid w:val="0030564C"/>
    <w:rsid w:val="00305D31"/>
    <w:rsid w:val="003062AF"/>
    <w:rsid w:val="003064F7"/>
    <w:rsid w:val="00306DE6"/>
    <w:rsid w:val="00307489"/>
    <w:rsid w:val="00307F09"/>
    <w:rsid w:val="00310E37"/>
    <w:rsid w:val="00310EEC"/>
    <w:rsid w:val="00311795"/>
    <w:rsid w:val="003121BC"/>
    <w:rsid w:val="003130DF"/>
    <w:rsid w:val="00314638"/>
    <w:rsid w:val="003161E6"/>
    <w:rsid w:val="0032005D"/>
    <w:rsid w:val="003220F1"/>
    <w:rsid w:val="00323F04"/>
    <w:rsid w:val="00324054"/>
    <w:rsid w:val="00324ED3"/>
    <w:rsid w:val="00326089"/>
    <w:rsid w:val="00326BB8"/>
    <w:rsid w:val="0032742A"/>
    <w:rsid w:val="0032786F"/>
    <w:rsid w:val="00332A3D"/>
    <w:rsid w:val="00332D55"/>
    <w:rsid w:val="00333050"/>
    <w:rsid w:val="0033341F"/>
    <w:rsid w:val="00333C2C"/>
    <w:rsid w:val="00334450"/>
    <w:rsid w:val="00335DE4"/>
    <w:rsid w:val="0033688E"/>
    <w:rsid w:val="00337F1C"/>
    <w:rsid w:val="0034047F"/>
    <w:rsid w:val="003418EF"/>
    <w:rsid w:val="00341972"/>
    <w:rsid w:val="00343140"/>
    <w:rsid w:val="0034533E"/>
    <w:rsid w:val="003466E7"/>
    <w:rsid w:val="003476EC"/>
    <w:rsid w:val="0035102D"/>
    <w:rsid w:val="00351D3A"/>
    <w:rsid w:val="003522E2"/>
    <w:rsid w:val="0035460E"/>
    <w:rsid w:val="003547CB"/>
    <w:rsid w:val="003555D9"/>
    <w:rsid w:val="003555ED"/>
    <w:rsid w:val="003556FB"/>
    <w:rsid w:val="00356525"/>
    <w:rsid w:val="00356770"/>
    <w:rsid w:val="00356F44"/>
    <w:rsid w:val="00357337"/>
    <w:rsid w:val="003576B3"/>
    <w:rsid w:val="00361D4D"/>
    <w:rsid w:val="00361EA2"/>
    <w:rsid w:val="00363417"/>
    <w:rsid w:val="003638F8"/>
    <w:rsid w:val="003648C1"/>
    <w:rsid w:val="00365420"/>
    <w:rsid w:val="00366013"/>
    <w:rsid w:val="00366100"/>
    <w:rsid w:val="003701C6"/>
    <w:rsid w:val="00371929"/>
    <w:rsid w:val="00371EEE"/>
    <w:rsid w:val="00375F4F"/>
    <w:rsid w:val="00377773"/>
    <w:rsid w:val="00377FCC"/>
    <w:rsid w:val="003803A5"/>
    <w:rsid w:val="00381C26"/>
    <w:rsid w:val="0038216D"/>
    <w:rsid w:val="0038309E"/>
    <w:rsid w:val="0038383D"/>
    <w:rsid w:val="00384A18"/>
    <w:rsid w:val="00384E65"/>
    <w:rsid w:val="00384EC8"/>
    <w:rsid w:val="00385303"/>
    <w:rsid w:val="00386C95"/>
    <w:rsid w:val="00387135"/>
    <w:rsid w:val="003921DE"/>
    <w:rsid w:val="00392503"/>
    <w:rsid w:val="003928FB"/>
    <w:rsid w:val="00394C19"/>
    <w:rsid w:val="003958EB"/>
    <w:rsid w:val="003959F9"/>
    <w:rsid w:val="00396471"/>
    <w:rsid w:val="00396939"/>
    <w:rsid w:val="00397452"/>
    <w:rsid w:val="00397AC5"/>
    <w:rsid w:val="003A0E1F"/>
    <w:rsid w:val="003A104D"/>
    <w:rsid w:val="003A1791"/>
    <w:rsid w:val="003A33B8"/>
    <w:rsid w:val="003A39FE"/>
    <w:rsid w:val="003A3C10"/>
    <w:rsid w:val="003A3CEF"/>
    <w:rsid w:val="003A3F08"/>
    <w:rsid w:val="003A5CDB"/>
    <w:rsid w:val="003A5E0F"/>
    <w:rsid w:val="003A6641"/>
    <w:rsid w:val="003A7AAF"/>
    <w:rsid w:val="003B10F9"/>
    <w:rsid w:val="003B346E"/>
    <w:rsid w:val="003B4D17"/>
    <w:rsid w:val="003B563A"/>
    <w:rsid w:val="003B57CB"/>
    <w:rsid w:val="003B5C2A"/>
    <w:rsid w:val="003B5F9E"/>
    <w:rsid w:val="003B6237"/>
    <w:rsid w:val="003B7DFA"/>
    <w:rsid w:val="003C0DC3"/>
    <w:rsid w:val="003C1617"/>
    <w:rsid w:val="003C1C82"/>
    <w:rsid w:val="003C1CF7"/>
    <w:rsid w:val="003C1E4C"/>
    <w:rsid w:val="003C2D8D"/>
    <w:rsid w:val="003C2F27"/>
    <w:rsid w:val="003C3057"/>
    <w:rsid w:val="003C3D00"/>
    <w:rsid w:val="003C41F3"/>
    <w:rsid w:val="003C643D"/>
    <w:rsid w:val="003C663D"/>
    <w:rsid w:val="003C67D0"/>
    <w:rsid w:val="003C6954"/>
    <w:rsid w:val="003D0ED9"/>
    <w:rsid w:val="003D1670"/>
    <w:rsid w:val="003D3383"/>
    <w:rsid w:val="003D528A"/>
    <w:rsid w:val="003D5423"/>
    <w:rsid w:val="003D62FC"/>
    <w:rsid w:val="003D7DBF"/>
    <w:rsid w:val="003E0613"/>
    <w:rsid w:val="003E1E09"/>
    <w:rsid w:val="003E24C3"/>
    <w:rsid w:val="003E4066"/>
    <w:rsid w:val="003E4995"/>
    <w:rsid w:val="003E598D"/>
    <w:rsid w:val="003E5A2E"/>
    <w:rsid w:val="003E6324"/>
    <w:rsid w:val="003E6B3C"/>
    <w:rsid w:val="003E7914"/>
    <w:rsid w:val="003E7BD8"/>
    <w:rsid w:val="003F0ACD"/>
    <w:rsid w:val="003F13F9"/>
    <w:rsid w:val="003F192F"/>
    <w:rsid w:val="003F21D6"/>
    <w:rsid w:val="003F35E2"/>
    <w:rsid w:val="003F40E2"/>
    <w:rsid w:val="003F4466"/>
    <w:rsid w:val="003F448B"/>
    <w:rsid w:val="003F4B83"/>
    <w:rsid w:val="003F4D99"/>
    <w:rsid w:val="00401621"/>
    <w:rsid w:val="004024B6"/>
    <w:rsid w:val="00402816"/>
    <w:rsid w:val="00404194"/>
    <w:rsid w:val="00404D45"/>
    <w:rsid w:val="00405309"/>
    <w:rsid w:val="00406761"/>
    <w:rsid w:val="00407E61"/>
    <w:rsid w:val="00410561"/>
    <w:rsid w:val="0041119A"/>
    <w:rsid w:val="00411D5E"/>
    <w:rsid w:val="00413865"/>
    <w:rsid w:val="00413AED"/>
    <w:rsid w:val="00414689"/>
    <w:rsid w:val="00415721"/>
    <w:rsid w:val="0041621A"/>
    <w:rsid w:val="004162FA"/>
    <w:rsid w:val="00416749"/>
    <w:rsid w:val="0041746C"/>
    <w:rsid w:val="004200DB"/>
    <w:rsid w:val="0042067B"/>
    <w:rsid w:val="0042074B"/>
    <w:rsid w:val="004210BE"/>
    <w:rsid w:val="004212DC"/>
    <w:rsid w:val="00424428"/>
    <w:rsid w:val="00424591"/>
    <w:rsid w:val="00424C76"/>
    <w:rsid w:val="004254AF"/>
    <w:rsid w:val="004269C5"/>
    <w:rsid w:val="00426A96"/>
    <w:rsid w:val="004302E2"/>
    <w:rsid w:val="0043228F"/>
    <w:rsid w:val="004322AE"/>
    <w:rsid w:val="00433D0B"/>
    <w:rsid w:val="0043585D"/>
    <w:rsid w:val="00436337"/>
    <w:rsid w:val="004376A3"/>
    <w:rsid w:val="0043792D"/>
    <w:rsid w:val="00437C07"/>
    <w:rsid w:val="00440B60"/>
    <w:rsid w:val="004416CE"/>
    <w:rsid w:val="004416FE"/>
    <w:rsid w:val="004417D6"/>
    <w:rsid w:val="00441E93"/>
    <w:rsid w:val="00441F3F"/>
    <w:rsid w:val="0044374A"/>
    <w:rsid w:val="0044442A"/>
    <w:rsid w:val="00444F5B"/>
    <w:rsid w:val="004456D6"/>
    <w:rsid w:val="00445E58"/>
    <w:rsid w:val="0044701B"/>
    <w:rsid w:val="00450198"/>
    <w:rsid w:val="00451159"/>
    <w:rsid w:val="00451C93"/>
    <w:rsid w:val="00451CA4"/>
    <w:rsid w:val="00451D86"/>
    <w:rsid w:val="00451E75"/>
    <w:rsid w:val="00452658"/>
    <w:rsid w:val="0045271A"/>
    <w:rsid w:val="00453A11"/>
    <w:rsid w:val="0045678B"/>
    <w:rsid w:val="00456D7A"/>
    <w:rsid w:val="00456DAE"/>
    <w:rsid w:val="004571C8"/>
    <w:rsid w:val="00457319"/>
    <w:rsid w:val="00460CAA"/>
    <w:rsid w:val="00460E04"/>
    <w:rsid w:val="00461A18"/>
    <w:rsid w:val="004646C5"/>
    <w:rsid w:val="00465470"/>
    <w:rsid w:val="00466478"/>
    <w:rsid w:val="004665E1"/>
    <w:rsid w:val="00466A0C"/>
    <w:rsid w:val="004705BA"/>
    <w:rsid w:val="00471669"/>
    <w:rsid w:val="00471E5C"/>
    <w:rsid w:val="00471FBE"/>
    <w:rsid w:val="004720A2"/>
    <w:rsid w:val="004722B0"/>
    <w:rsid w:val="00472960"/>
    <w:rsid w:val="004733A7"/>
    <w:rsid w:val="004750AA"/>
    <w:rsid w:val="0047553D"/>
    <w:rsid w:val="00475F85"/>
    <w:rsid w:val="00476154"/>
    <w:rsid w:val="00477921"/>
    <w:rsid w:val="00480BFC"/>
    <w:rsid w:val="00481012"/>
    <w:rsid w:val="00481766"/>
    <w:rsid w:val="00482FCC"/>
    <w:rsid w:val="00483B4C"/>
    <w:rsid w:val="004859AD"/>
    <w:rsid w:val="004861DB"/>
    <w:rsid w:val="0048694F"/>
    <w:rsid w:val="00486D50"/>
    <w:rsid w:val="00487DAE"/>
    <w:rsid w:val="004902BE"/>
    <w:rsid w:val="0049263A"/>
    <w:rsid w:val="00493989"/>
    <w:rsid w:val="00494A22"/>
    <w:rsid w:val="00495675"/>
    <w:rsid w:val="00495D10"/>
    <w:rsid w:val="00496158"/>
    <w:rsid w:val="004A0152"/>
    <w:rsid w:val="004A12EB"/>
    <w:rsid w:val="004A311B"/>
    <w:rsid w:val="004A39B2"/>
    <w:rsid w:val="004A5EDC"/>
    <w:rsid w:val="004A6C86"/>
    <w:rsid w:val="004B1644"/>
    <w:rsid w:val="004B1D84"/>
    <w:rsid w:val="004B2100"/>
    <w:rsid w:val="004B2393"/>
    <w:rsid w:val="004B3229"/>
    <w:rsid w:val="004B395A"/>
    <w:rsid w:val="004B3D68"/>
    <w:rsid w:val="004B4551"/>
    <w:rsid w:val="004B46C3"/>
    <w:rsid w:val="004B4F10"/>
    <w:rsid w:val="004B5ADF"/>
    <w:rsid w:val="004B5E24"/>
    <w:rsid w:val="004C0047"/>
    <w:rsid w:val="004C0650"/>
    <w:rsid w:val="004C1F89"/>
    <w:rsid w:val="004C3254"/>
    <w:rsid w:val="004C45DF"/>
    <w:rsid w:val="004C4DE5"/>
    <w:rsid w:val="004C56AD"/>
    <w:rsid w:val="004C5C1A"/>
    <w:rsid w:val="004C74CB"/>
    <w:rsid w:val="004D0EA4"/>
    <w:rsid w:val="004D1C65"/>
    <w:rsid w:val="004D29F9"/>
    <w:rsid w:val="004D2D4F"/>
    <w:rsid w:val="004D2EC7"/>
    <w:rsid w:val="004D3434"/>
    <w:rsid w:val="004D34EF"/>
    <w:rsid w:val="004D3701"/>
    <w:rsid w:val="004D39AC"/>
    <w:rsid w:val="004D470E"/>
    <w:rsid w:val="004D4A4D"/>
    <w:rsid w:val="004D50D9"/>
    <w:rsid w:val="004D5D49"/>
    <w:rsid w:val="004D65BF"/>
    <w:rsid w:val="004D71C8"/>
    <w:rsid w:val="004D7A9A"/>
    <w:rsid w:val="004E117D"/>
    <w:rsid w:val="004E1F93"/>
    <w:rsid w:val="004E35F6"/>
    <w:rsid w:val="004E3BD9"/>
    <w:rsid w:val="004E50DC"/>
    <w:rsid w:val="004E54D0"/>
    <w:rsid w:val="004E5F4B"/>
    <w:rsid w:val="004F0366"/>
    <w:rsid w:val="004F27B2"/>
    <w:rsid w:val="004F3227"/>
    <w:rsid w:val="004F34F2"/>
    <w:rsid w:val="004F621C"/>
    <w:rsid w:val="004F6682"/>
    <w:rsid w:val="00500429"/>
    <w:rsid w:val="00500765"/>
    <w:rsid w:val="005007E9"/>
    <w:rsid w:val="00500A6B"/>
    <w:rsid w:val="005013B3"/>
    <w:rsid w:val="0050183B"/>
    <w:rsid w:val="00503006"/>
    <w:rsid w:val="00505A8B"/>
    <w:rsid w:val="0050627A"/>
    <w:rsid w:val="00506932"/>
    <w:rsid w:val="00506D35"/>
    <w:rsid w:val="005073B4"/>
    <w:rsid w:val="00511475"/>
    <w:rsid w:val="00511BCB"/>
    <w:rsid w:val="00513333"/>
    <w:rsid w:val="00514FDA"/>
    <w:rsid w:val="005174DE"/>
    <w:rsid w:val="0052266B"/>
    <w:rsid w:val="00524005"/>
    <w:rsid w:val="0052424B"/>
    <w:rsid w:val="005252EC"/>
    <w:rsid w:val="00525683"/>
    <w:rsid w:val="005257A9"/>
    <w:rsid w:val="005257E4"/>
    <w:rsid w:val="00526140"/>
    <w:rsid w:val="00526443"/>
    <w:rsid w:val="0052675E"/>
    <w:rsid w:val="005268B9"/>
    <w:rsid w:val="00526CD7"/>
    <w:rsid w:val="00526EB4"/>
    <w:rsid w:val="00531222"/>
    <w:rsid w:val="0053174F"/>
    <w:rsid w:val="0053209D"/>
    <w:rsid w:val="005321A7"/>
    <w:rsid w:val="00532582"/>
    <w:rsid w:val="00532929"/>
    <w:rsid w:val="0053292B"/>
    <w:rsid w:val="00532B9D"/>
    <w:rsid w:val="00534960"/>
    <w:rsid w:val="005354B5"/>
    <w:rsid w:val="00535825"/>
    <w:rsid w:val="00536E11"/>
    <w:rsid w:val="00537885"/>
    <w:rsid w:val="00537B7A"/>
    <w:rsid w:val="00537B8F"/>
    <w:rsid w:val="00537F10"/>
    <w:rsid w:val="00541CF8"/>
    <w:rsid w:val="00543D40"/>
    <w:rsid w:val="00543DA9"/>
    <w:rsid w:val="00545278"/>
    <w:rsid w:val="005455C3"/>
    <w:rsid w:val="0054569E"/>
    <w:rsid w:val="00545F84"/>
    <w:rsid w:val="005468F3"/>
    <w:rsid w:val="00546C69"/>
    <w:rsid w:val="00547224"/>
    <w:rsid w:val="00547271"/>
    <w:rsid w:val="0055063C"/>
    <w:rsid w:val="005508FA"/>
    <w:rsid w:val="0055182C"/>
    <w:rsid w:val="005539D0"/>
    <w:rsid w:val="005553EB"/>
    <w:rsid w:val="00555F78"/>
    <w:rsid w:val="0055603F"/>
    <w:rsid w:val="00557218"/>
    <w:rsid w:val="005572C8"/>
    <w:rsid w:val="00562CEB"/>
    <w:rsid w:val="00563706"/>
    <w:rsid w:val="00563C6E"/>
    <w:rsid w:val="005640F9"/>
    <w:rsid w:val="0056428D"/>
    <w:rsid w:val="005654E4"/>
    <w:rsid w:val="00565EEF"/>
    <w:rsid w:val="00566A31"/>
    <w:rsid w:val="00566BC9"/>
    <w:rsid w:val="0056770F"/>
    <w:rsid w:val="0057006B"/>
    <w:rsid w:val="00570191"/>
    <w:rsid w:val="005723DE"/>
    <w:rsid w:val="00572408"/>
    <w:rsid w:val="00572BC6"/>
    <w:rsid w:val="00572D35"/>
    <w:rsid w:val="005733BE"/>
    <w:rsid w:val="00575664"/>
    <w:rsid w:val="00575FFD"/>
    <w:rsid w:val="005764AE"/>
    <w:rsid w:val="005769B8"/>
    <w:rsid w:val="00577047"/>
    <w:rsid w:val="00577A09"/>
    <w:rsid w:val="00577D87"/>
    <w:rsid w:val="0058039B"/>
    <w:rsid w:val="0058065F"/>
    <w:rsid w:val="00580860"/>
    <w:rsid w:val="00580A7E"/>
    <w:rsid w:val="00580AC6"/>
    <w:rsid w:val="005814EC"/>
    <w:rsid w:val="00581FE8"/>
    <w:rsid w:val="0058281F"/>
    <w:rsid w:val="00583935"/>
    <w:rsid w:val="00584235"/>
    <w:rsid w:val="00584839"/>
    <w:rsid w:val="00585887"/>
    <w:rsid w:val="005868B3"/>
    <w:rsid w:val="00586A53"/>
    <w:rsid w:val="005873D1"/>
    <w:rsid w:val="00590089"/>
    <w:rsid w:val="00590BFD"/>
    <w:rsid w:val="0059103F"/>
    <w:rsid w:val="005921A8"/>
    <w:rsid w:val="00592446"/>
    <w:rsid w:val="005934B5"/>
    <w:rsid w:val="00594C75"/>
    <w:rsid w:val="005A0245"/>
    <w:rsid w:val="005A0D7E"/>
    <w:rsid w:val="005A104D"/>
    <w:rsid w:val="005A1549"/>
    <w:rsid w:val="005A1A98"/>
    <w:rsid w:val="005A3499"/>
    <w:rsid w:val="005A4BD6"/>
    <w:rsid w:val="005A6909"/>
    <w:rsid w:val="005A6E64"/>
    <w:rsid w:val="005A71CD"/>
    <w:rsid w:val="005B0A11"/>
    <w:rsid w:val="005B0F94"/>
    <w:rsid w:val="005B170B"/>
    <w:rsid w:val="005B36A7"/>
    <w:rsid w:val="005B5FD8"/>
    <w:rsid w:val="005B6C5E"/>
    <w:rsid w:val="005B7231"/>
    <w:rsid w:val="005B7A5F"/>
    <w:rsid w:val="005C1207"/>
    <w:rsid w:val="005C149F"/>
    <w:rsid w:val="005C15D3"/>
    <w:rsid w:val="005C242C"/>
    <w:rsid w:val="005C2FA8"/>
    <w:rsid w:val="005C3C58"/>
    <w:rsid w:val="005C5E1D"/>
    <w:rsid w:val="005C66A9"/>
    <w:rsid w:val="005C6C62"/>
    <w:rsid w:val="005C7251"/>
    <w:rsid w:val="005D1912"/>
    <w:rsid w:val="005D1990"/>
    <w:rsid w:val="005D1C9C"/>
    <w:rsid w:val="005D2F14"/>
    <w:rsid w:val="005D364E"/>
    <w:rsid w:val="005D6AF6"/>
    <w:rsid w:val="005E0912"/>
    <w:rsid w:val="005E1739"/>
    <w:rsid w:val="005E1DDC"/>
    <w:rsid w:val="005E2637"/>
    <w:rsid w:val="005E2A28"/>
    <w:rsid w:val="005E3072"/>
    <w:rsid w:val="005E40DE"/>
    <w:rsid w:val="005E4C6C"/>
    <w:rsid w:val="005E55DD"/>
    <w:rsid w:val="005E587C"/>
    <w:rsid w:val="005E6435"/>
    <w:rsid w:val="005E6A09"/>
    <w:rsid w:val="005E70B8"/>
    <w:rsid w:val="005F13EA"/>
    <w:rsid w:val="005F173D"/>
    <w:rsid w:val="005F187B"/>
    <w:rsid w:val="005F2740"/>
    <w:rsid w:val="005F33B4"/>
    <w:rsid w:val="005F4C45"/>
    <w:rsid w:val="005F55B4"/>
    <w:rsid w:val="005F56F4"/>
    <w:rsid w:val="005F5FD2"/>
    <w:rsid w:val="005F6EC9"/>
    <w:rsid w:val="005F7AD0"/>
    <w:rsid w:val="006000E1"/>
    <w:rsid w:val="00600782"/>
    <w:rsid w:val="0060091D"/>
    <w:rsid w:val="00601691"/>
    <w:rsid w:val="00602F8E"/>
    <w:rsid w:val="00604B8A"/>
    <w:rsid w:val="0060588A"/>
    <w:rsid w:val="0060642E"/>
    <w:rsid w:val="00607BE0"/>
    <w:rsid w:val="00607F3B"/>
    <w:rsid w:val="00610328"/>
    <w:rsid w:val="006107E1"/>
    <w:rsid w:val="00610FDA"/>
    <w:rsid w:val="006133FA"/>
    <w:rsid w:val="006146C8"/>
    <w:rsid w:val="006148A1"/>
    <w:rsid w:val="00614B5D"/>
    <w:rsid w:val="00616466"/>
    <w:rsid w:val="00617358"/>
    <w:rsid w:val="006204AE"/>
    <w:rsid w:val="006209BB"/>
    <w:rsid w:val="00620ADC"/>
    <w:rsid w:val="0062125F"/>
    <w:rsid w:val="006231CD"/>
    <w:rsid w:val="00623B79"/>
    <w:rsid w:val="00624872"/>
    <w:rsid w:val="00624E06"/>
    <w:rsid w:val="00627ED1"/>
    <w:rsid w:val="00630B66"/>
    <w:rsid w:val="00632732"/>
    <w:rsid w:val="00632AB1"/>
    <w:rsid w:val="006331D7"/>
    <w:rsid w:val="00633264"/>
    <w:rsid w:val="0063468C"/>
    <w:rsid w:val="006361CB"/>
    <w:rsid w:val="00636238"/>
    <w:rsid w:val="0063681F"/>
    <w:rsid w:val="006402C8"/>
    <w:rsid w:val="00640E93"/>
    <w:rsid w:val="00640F96"/>
    <w:rsid w:val="00640FF0"/>
    <w:rsid w:val="006416FD"/>
    <w:rsid w:val="006418D4"/>
    <w:rsid w:val="00642069"/>
    <w:rsid w:val="00642934"/>
    <w:rsid w:val="0064353D"/>
    <w:rsid w:val="0064538A"/>
    <w:rsid w:val="00646623"/>
    <w:rsid w:val="006469DF"/>
    <w:rsid w:val="006470A3"/>
    <w:rsid w:val="00651BEA"/>
    <w:rsid w:val="0065229D"/>
    <w:rsid w:val="00652B19"/>
    <w:rsid w:val="00653EB2"/>
    <w:rsid w:val="00655F25"/>
    <w:rsid w:val="0065656A"/>
    <w:rsid w:val="006569C4"/>
    <w:rsid w:val="00660236"/>
    <w:rsid w:val="006603D4"/>
    <w:rsid w:val="006605D3"/>
    <w:rsid w:val="00661E29"/>
    <w:rsid w:val="006635F5"/>
    <w:rsid w:val="00664C07"/>
    <w:rsid w:val="006656AF"/>
    <w:rsid w:val="00666231"/>
    <w:rsid w:val="00666398"/>
    <w:rsid w:val="006674F9"/>
    <w:rsid w:val="00667D68"/>
    <w:rsid w:val="006701E6"/>
    <w:rsid w:val="00670CD6"/>
    <w:rsid w:val="00671248"/>
    <w:rsid w:val="00671692"/>
    <w:rsid w:val="00671937"/>
    <w:rsid w:val="00672D51"/>
    <w:rsid w:val="00674153"/>
    <w:rsid w:val="0067581C"/>
    <w:rsid w:val="006760D6"/>
    <w:rsid w:val="00676F80"/>
    <w:rsid w:val="00680169"/>
    <w:rsid w:val="00681302"/>
    <w:rsid w:val="0068134C"/>
    <w:rsid w:val="00681F2C"/>
    <w:rsid w:val="00682D44"/>
    <w:rsid w:val="006866B6"/>
    <w:rsid w:val="00690BE3"/>
    <w:rsid w:val="006910DA"/>
    <w:rsid w:val="00691792"/>
    <w:rsid w:val="0069227D"/>
    <w:rsid w:val="006945BB"/>
    <w:rsid w:val="00696671"/>
    <w:rsid w:val="00696972"/>
    <w:rsid w:val="00696D91"/>
    <w:rsid w:val="006971F3"/>
    <w:rsid w:val="006973BF"/>
    <w:rsid w:val="006A0BAB"/>
    <w:rsid w:val="006A105C"/>
    <w:rsid w:val="006A154C"/>
    <w:rsid w:val="006A1B18"/>
    <w:rsid w:val="006A1D6C"/>
    <w:rsid w:val="006A22E7"/>
    <w:rsid w:val="006A2C8C"/>
    <w:rsid w:val="006A33AF"/>
    <w:rsid w:val="006A5035"/>
    <w:rsid w:val="006A5F4D"/>
    <w:rsid w:val="006A683B"/>
    <w:rsid w:val="006A6FEA"/>
    <w:rsid w:val="006A77BC"/>
    <w:rsid w:val="006A7D02"/>
    <w:rsid w:val="006B1B75"/>
    <w:rsid w:val="006C1194"/>
    <w:rsid w:val="006C12C6"/>
    <w:rsid w:val="006C12C8"/>
    <w:rsid w:val="006C1326"/>
    <w:rsid w:val="006C17EB"/>
    <w:rsid w:val="006C1F58"/>
    <w:rsid w:val="006C2345"/>
    <w:rsid w:val="006C37C2"/>
    <w:rsid w:val="006C4464"/>
    <w:rsid w:val="006C5DBF"/>
    <w:rsid w:val="006D0B4D"/>
    <w:rsid w:val="006D0C07"/>
    <w:rsid w:val="006D126D"/>
    <w:rsid w:val="006D149E"/>
    <w:rsid w:val="006D38F2"/>
    <w:rsid w:val="006D39BB"/>
    <w:rsid w:val="006D41E3"/>
    <w:rsid w:val="006D4298"/>
    <w:rsid w:val="006D442E"/>
    <w:rsid w:val="006D7D02"/>
    <w:rsid w:val="006E0231"/>
    <w:rsid w:val="006E1993"/>
    <w:rsid w:val="006E482A"/>
    <w:rsid w:val="006E6EB9"/>
    <w:rsid w:val="006E7AE9"/>
    <w:rsid w:val="006F002F"/>
    <w:rsid w:val="006F09BD"/>
    <w:rsid w:val="006F1111"/>
    <w:rsid w:val="006F1308"/>
    <w:rsid w:val="006F3436"/>
    <w:rsid w:val="006F35AD"/>
    <w:rsid w:val="006F39EB"/>
    <w:rsid w:val="006F4161"/>
    <w:rsid w:val="006F47AD"/>
    <w:rsid w:val="006F4EB7"/>
    <w:rsid w:val="006F71F2"/>
    <w:rsid w:val="006F797A"/>
    <w:rsid w:val="007004F0"/>
    <w:rsid w:val="00701715"/>
    <w:rsid w:val="00702144"/>
    <w:rsid w:val="00702E29"/>
    <w:rsid w:val="00703A8E"/>
    <w:rsid w:val="00704B20"/>
    <w:rsid w:val="00705695"/>
    <w:rsid w:val="00706435"/>
    <w:rsid w:val="00706CD5"/>
    <w:rsid w:val="007078C4"/>
    <w:rsid w:val="00710390"/>
    <w:rsid w:val="007120BF"/>
    <w:rsid w:val="007151A9"/>
    <w:rsid w:val="0071679C"/>
    <w:rsid w:val="007169F9"/>
    <w:rsid w:val="0071731F"/>
    <w:rsid w:val="00717C2B"/>
    <w:rsid w:val="00720347"/>
    <w:rsid w:val="00720936"/>
    <w:rsid w:val="0072158E"/>
    <w:rsid w:val="0072159B"/>
    <w:rsid w:val="00721A6A"/>
    <w:rsid w:val="0072436B"/>
    <w:rsid w:val="00725935"/>
    <w:rsid w:val="00726307"/>
    <w:rsid w:val="00726A1E"/>
    <w:rsid w:val="0072741B"/>
    <w:rsid w:val="00727791"/>
    <w:rsid w:val="00732D58"/>
    <w:rsid w:val="00733B17"/>
    <w:rsid w:val="007350E1"/>
    <w:rsid w:val="007363D6"/>
    <w:rsid w:val="007364BF"/>
    <w:rsid w:val="00736749"/>
    <w:rsid w:val="00741549"/>
    <w:rsid w:val="007419B8"/>
    <w:rsid w:val="0074202B"/>
    <w:rsid w:val="0074393D"/>
    <w:rsid w:val="0074499A"/>
    <w:rsid w:val="00745540"/>
    <w:rsid w:val="00745584"/>
    <w:rsid w:val="00745967"/>
    <w:rsid w:val="00745E8A"/>
    <w:rsid w:val="00747DB9"/>
    <w:rsid w:val="0075035A"/>
    <w:rsid w:val="007519A0"/>
    <w:rsid w:val="00752083"/>
    <w:rsid w:val="0075491B"/>
    <w:rsid w:val="00754D62"/>
    <w:rsid w:val="00754F72"/>
    <w:rsid w:val="00756CD5"/>
    <w:rsid w:val="007577B5"/>
    <w:rsid w:val="00760C2D"/>
    <w:rsid w:val="00760CE6"/>
    <w:rsid w:val="0076163E"/>
    <w:rsid w:val="00762429"/>
    <w:rsid w:val="00762666"/>
    <w:rsid w:val="007626EF"/>
    <w:rsid w:val="00763342"/>
    <w:rsid w:val="00763DEF"/>
    <w:rsid w:val="0076403E"/>
    <w:rsid w:val="007652F0"/>
    <w:rsid w:val="007654F9"/>
    <w:rsid w:val="00765C4B"/>
    <w:rsid w:val="0076644C"/>
    <w:rsid w:val="00766C62"/>
    <w:rsid w:val="00767C39"/>
    <w:rsid w:val="00770F24"/>
    <w:rsid w:val="0077254E"/>
    <w:rsid w:val="00772649"/>
    <w:rsid w:val="00773967"/>
    <w:rsid w:val="00776411"/>
    <w:rsid w:val="00777AF4"/>
    <w:rsid w:val="007803FD"/>
    <w:rsid w:val="00780B88"/>
    <w:rsid w:val="00780D96"/>
    <w:rsid w:val="00783F6B"/>
    <w:rsid w:val="00784617"/>
    <w:rsid w:val="00784BB9"/>
    <w:rsid w:val="007908A9"/>
    <w:rsid w:val="007909A3"/>
    <w:rsid w:val="007912AD"/>
    <w:rsid w:val="007913BB"/>
    <w:rsid w:val="007920D9"/>
    <w:rsid w:val="0079255B"/>
    <w:rsid w:val="0079301B"/>
    <w:rsid w:val="00793114"/>
    <w:rsid w:val="007933BA"/>
    <w:rsid w:val="0079567C"/>
    <w:rsid w:val="00796C1D"/>
    <w:rsid w:val="007A06DC"/>
    <w:rsid w:val="007A10EC"/>
    <w:rsid w:val="007A1339"/>
    <w:rsid w:val="007A135F"/>
    <w:rsid w:val="007A1452"/>
    <w:rsid w:val="007A22BC"/>
    <w:rsid w:val="007A3B71"/>
    <w:rsid w:val="007A5857"/>
    <w:rsid w:val="007A5B30"/>
    <w:rsid w:val="007A64C1"/>
    <w:rsid w:val="007A6CA9"/>
    <w:rsid w:val="007B0DDC"/>
    <w:rsid w:val="007B18E4"/>
    <w:rsid w:val="007B2041"/>
    <w:rsid w:val="007B207B"/>
    <w:rsid w:val="007B2C59"/>
    <w:rsid w:val="007B42CA"/>
    <w:rsid w:val="007B48A7"/>
    <w:rsid w:val="007B506B"/>
    <w:rsid w:val="007B6CDB"/>
    <w:rsid w:val="007B7EB4"/>
    <w:rsid w:val="007C11BC"/>
    <w:rsid w:val="007C11F5"/>
    <w:rsid w:val="007C2872"/>
    <w:rsid w:val="007D219B"/>
    <w:rsid w:val="007D2666"/>
    <w:rsid w:val="007D293D"/>
    <w:rsid w:val="007D296B"/>
    <w:rsid w:val="007D43FB"/>
    <w:rsid w:val="007D555F"/>
    <w:rsid w:val="007D55E5"/>
    <w:rsid w:val="007E122E"/>
    <w:rsid w:val="007E3043"/>
    <w:rsid w:val="007E3C37"/>
    <w:rsid w:val="007E4275"/>
    <w:rsid w:val="007E4911"/>
    <w:rsid w:val="007E4952"/>
    <w:rsid w:val="007E50E1"/>
    <w:rsid w:val="007E5316"/>
    <w:rsid w:val="007E7468"/>
    <w:rsid w:val="007F1886"/>
    <w:rsid w:val="007F327E"/>
    <w:rsid w:val="007F3604"/>
    <w:rsid w:val="007F39AA"/>
    <w:rsid w:val="007F4131"/>
    <w:rsid w:val="007F4B5C"/>
    <w:rsid w:val="007F56FE"/>
    <w:rsid w:val="007F655A"/>
    <w:rsid w:val="007F6D72"/>
    <w:rsid w:val="007F736F"/>
    <w:rsid w:val="008008A8"/>
    <w:rsid w:val="00800A1C"/>
    <w:rsid w:val="00801584"/>
    <w:rsid w:val="00801CB5"/>
    <w:rsid w:val="008026B2"/>
    <w:rsid w:val="0080300B"/>
    <w:rsid w:val="008042E6"/>
    <w:rsid w:val="00804BCE"/>
    <w:rsid w:val="00807E16"/>
    <w:rsid w:val="00810E05"/>
    <w:rsid w:val="008115D9"/>
    <w:rsid w:val="008127C8"/>
    <w:rsid w:val="00813194"/>
    <w:rsid w:val="0081351A"/>
    <w:rsid w:val="00815CB6"/>
    <w:rsid w:val="00817B9F"/>
    <w:rsid w:val="00820651"/>
    <w:rsid w:val="00820E87"/>
    <w:rsid w:val="00822E4C"/>
    <w:rsid w:val="00823585"/>
    <w:rsid w:val="00825A1E"/>
    <w:rsid w:val="008273B2"/>
    <w:rsid w:val="0082789D"/>
    <w:rsid w:val="00830526"/>
    <w:rsid w:val="00831307"/>
    <w:rsid w:val="00831DBC"/>
    <w:rsid w:val="00833700"/>
    <w:rsid w:val="00833946"/>
    <w:rsid w:val="00834415"/>
    <w:rsid w:val="00834931"/>
    <w:rsid w:val="00835DC1"/>
    <w:rsid w:val="008363D8"/>
    <w:rsid w:val="00836BE2"/>
    <w:rsid w:val="00836D84"/>
    <w:rsid w:val="008372EC"/>
    <w:rsid w:val="00837689"/>
    <w:rsid w:val="00837A51"/>
    <w:rsid w:val="00837B6B"/>
    <w:rsid w:val="00837EB5"/>
    <w:rsid w:val="008405FC"/>
    <w:rsid w:val="008409B6"/>
    <w:rsid w:val="00840B90"/>
    <w:rsid w:val="00841240"/>
    <w:rsid w:val="008412D9"/>
    <w:rsid w:val="00841EDE"/>
    <w:rsid w:val="00842C47"/>
    <w:rsid w:val="00843727"/>
    <w:rsid w:val="0084449E"/>
    <w:rsid w:val="00844952"/>
    <w:rsid w:val="00844D12"/>
    <w:rsid w:val="00845040"/>
    <w:rsid w:val="00845274"/>
    <w:rsid w:val="008462EA"/>
    <w:rsid w:val="00846FA8"/>
    <w:rsid w:val="008470E4"/>
    <w:rsid w:val="008474BE"/>
    <w:rsid w:val="00847810"/>
    <w:rsid w:val="008509D6"/>
    <w:rsid w:val="008536AB"/>
    <w:rsid w:val="008567DD"/>
    <w:rsid w:val="00856B82"/>
    <w:rsid w:val="00856CBB"/>
    <w:rsid w:val="008614A7"/>
    <w:rsid w:val="00862731"/>
    <w:rsid w:val="00862BDF"/>
    <w:rsid w:val="00862C15"/>
    <w:rsid w:val="008631B2"/>
    <w:rsid w:val="008635DC"/>
    <w:rsid w:val="00866238"/>
    <w:rsid w:val="0086639A"/>
    <w:rsid w:val="00866C11"/>
    <w:rsid w:val="008675C0"/>
    <w:rsid w:val="008701CE"/>
    <w:rsid w:val="00871FC5"/>
    <w:rsid w:val="00872490"/>
    <w:rsid w:val="008724A1"/>
    <w:rsid w:val="00872E73"/>
    <w:rsid w:val="00873824"/>
    <w:rsid w:val="00876FE2"/>
    <w:rsid w:val="00880CBF"/>
    <w:rsid w:val="00882585"/>
    <w:rsid w:val="008828A1"/>
    <w:rsid w:val="00885DB3"/>
    <w:rsid w:val="00885DDC"/>
    <w:rsid w:val="0088692B"/>
    <w:rsid w:val="00886A4D"/>
    <w:rsid w:val="008870E2"/>
    <w:rsid w:val="008876DE"/>
    <w:rsid w:val="00887C01"/>
    <w:rsid w:val="00887F15"/>
    <w:rsid w:val="00891231"/>
    <w:rsid w:val="008927E2"/>
    <w:rsid w:val="008931AC"/>
    <w:rsid w:val="00893BA2"/>
    <w:rsid w:val="00893D5C"/>
    <w:rsid w:val="00894FDC"/>
    <w:rsid w:val="00895212"/>
    <w:rsid w:val="0089558F"/>
    <w:rsid w:val="00895E9B"/>
    <w:rsid w:val="00897321"/>
    <w:rsid w:val="00897A0F"/>
    <w:rsid w:val="00897BBB"/>
    <w:rsid w:val="008A0D31"/>
    <w:rsid w:val="008A1202"/>
    <w:rsid w:val="008A3961"/>
    <w:rsid w:val="008A427E"/>
    <w:rsid w:val="008A56CC"/>
    <w:rsid w:val="008A628B"/>
    <w:rsid w:val="008A73DB"/>
    <w:rsid w:val="008A73EE"/>
    <w:rsid w:val="008A79C6"/>
    <w:rsid w:val="008B04EE"/>
    <w:rsid w:val="008B0C8B"/>
    <w:rsid w:val="008B0D1B"/>
    <w:rsid w:val="008B158D"/>
    <w:rsid w:val="008B1E54"/>
    <w:rsid w:val="008B225C"/>
    <w:rsid w:val="008B22D0"/>
    <w:rsid w:val="008B2B7E"/>
    <w:rsid w:val="008B3295"/>
    <w:rsid w:val="008B4EB6"/>
    <w:rsid w:val="008B5A49"/>
    <w:rsid w:val="008B5A93"/>
    <w:rsid w:val="008B61BE"/>
    <w:rsid w:val="008C2DFB"/>
    <w:rsid w:val="008C309C"/>
    <w:rsid w:val="008C3551"/>
    <w:rsid w:val="008C6B27"/>
    <w:rsid w:val="008C70C4"/>
    <w:rsid w:val="008D07D6"/>
    <w:rsid w:val="008D0A87"/>
    <w:rsid w:val="008D0EF6"/>
    <w:rsid w:val="008D3DE4"/>
    <w:rsid w:val="008D453C"/>
    <w:rsid w:val="008D499D"/>
    <w:rsid w:val="008D6B4D"/>
    <w:rsid w:val="008D7523"/>
    <w:rsid w:val="008D75F9"/>
    <w:rsid w:val="008D7727"/>
    <w:rsid w:val="008E03D1"/>
    <w:rsid w:val="008E145B"/>
    <w:rsid w:val="008E307C"/>
    <w:rsid w:val="008E3590"/>
    <w:rsid w:val="008E3915"/>
    <w:rsid w:val="008E43DE"/>
    <w:rsid w:val="008E48AF"/>
    <w:rsid w:val="008E57E6"/>
    <w:rsid w:val="008E59D3"/>
    <w:rsid w:val="008E7489"/>
    <w:rsid w:val="008E757B"/>
    <w:rsid w:val="008E79E4"/>
    <w:rsid w:val="008E7D17"/>
    <w:rsid w:val="008E7D9A"/>
    <w:rsid w:val="008F0A43"/>
    <w:rsid w:val="008F1463"/>
    <w:rsid w:val="008F219B"/>
    <w:rsid w:val="008F2D4B"/>
    <w:rsid w:val="008F3017"/>
    <w:rsid w:val="008F55A4"/>
    <w:rsid w:val="008F68B7"/>
    <w:rsid w:val="008F7E39"/>
    <w:rsid w:val="009013B9"/>
    <w:rsid w:val="009017D4"/>
    <w:rsid w:val="00901BC6"/>
    <w:rsid w:val="00901DFE"/>
    <w:rsid w:val="0090262D"/>
    <w:rsid w:val="00902895"/>
    <w:rsid w:val="00902A26"/>
    <w:rsid w:val="009038CE"/>
    <w:rsid w:val="00907394"/>
    <w:rsid w:val="00907EF4"/>
    <w:rsid w:val="009100D0"/>
    <w:rsid w:val="00910BF0"/>
    <w:rsid w:val="00910C0F"/>
    <w:rsid w:val="00911152"/>
    <w:rsid w:val="0091198F"/>
    <w:rsid w:val="00911EB1"/>
    <w:rsid w:val="00913CC8"/>
    <w:rsid w:val="00915357"/>
    <w:rsid w:val="009156C3"/>
    <w:rsid w:val="00915C93"/>
    <w:rsid w:val="009161B9"/>
    <w:rsid w:val="0091680A"/>
    <w:rsid w:val="00916958"/>
    <w:rsid w:val="00916A68"/>
    <w:rsid w:val="0091773B"/>
    <w:rsid w:val="00917E92"/>
    <w:rsid w:val="00921C63"/>
    <w:rsid w:val="0092216B"/>
    <w:rsid w:val="00922FCF"/>
    <w:rsid w:val="00923C01"/>
    <w:rsid w:val="009256AA"/>
    <w:rsid w:val="0092685C"/>
    <w:rsid w:val="00926CC7"/>
    <w:rsid w:val="00927B39"/>
    <w:rsid w:val="0093024B"/>
    <w:rsid w:val="00930841"/>
    <w:rsid w:val="009313CA"/>
    <w:rsid w:val="0093225A"/>
    <w:rsid w:val="0093287D"/>
    <w:rsid w:val="009356DE"/>
    <w:rsid w:val="00936066"/>
    <w:rsid w:val="00936151"/>
    <w:rsid w:val="0093671F"/>
    <w:rsid w:val="00936852"/>
    <w:rsid w:val="0093792B"/>
    <w:rsid w:val="00940E33"/>
    <w:rsid w:val="009411EB"/>
    <w:rsid w:val="009418B9"/>
    <w:rsid w:val="00941A3D"/>
    <w:rsid w:val="00941C4A"/>
    <w:rsid w:val="00941D71"/>
    <w:rsid w:val="00941F57"/>
    <w:rsid w:val="00942B0E"/>
    <w:rsid w:val="00944CB3"/>
    <w:rsid w:val="00944DE6"/>
    <w:rsid w:val="00946657"/>
    <w:rsid w:val="009466A8"/>
    <w:rsid w:val="009469AD"/>
    <w:rsid w:val="009477C2"/>
    <w:rsid w:val="00947F27"/>
    <w:rsid w:val="0095347F"/>
    <w:rsid w:val="009541BC"/>
    <w:rsid w:val="009556DD"/>
    <w:rsid w:val="00955F6D"/>
    <w:rsid w:val="00957404"/>
    <w:rsid w:val="0095791D"/>
    <w:rsid w:val="00957EFD"/>
    <w:rsid w:val="00960BA4"/>
    <w:rsid w:val="00963E2E"/>
    <w:rsid w:val="00963F3E"/>
    <w:rsid w:val="00964B12"/>
    <w:rsid w:val="00964BC6"/>
    <w:rsid w:val="00965878"/>
    <w:rsid w:val="00966255"/>
    <w:rsid w:val="00967157"/>
    <w:rsid w:val="00967DB9"/>
    <w:rsid w:val="00971976"/>
    <w:rsid w:val="00971D33"/>
    <w:rsid w:val="0097243F"/>
    <w:rsid w:val="00972D6A"/>
    <w:rsid w:val="00972DB3"/>
    <w:rsid w:val="00973234"/>
    <w:rsid w:val="0097344D"/>
    <w:rsid w:val="00973461"/>
    <w:rsid w:val="00976692"/>
    <w:rsid w:val="00980303"/>
    <w:rsid w:val="009828A6"/>
    <w:rsid w:val="00982F58"/>
    <w:rsid w:val="00984B3D"/>
    <w:rsid w:val="00985E03"/>
    <w:rsid w:val="00986E30"/>
    <w:rsid w:val="009908F2"/>
    <w:rsid w:val="00991AE7"/>
    <w:rsid w:val="009926F1"/>
    <w:rsid w:val="00992B72"/>
    <w:rsid w:val="00993E07"/>
    <w:rsid w:val="00994602"/>
    <w:rsid w:val="009974EB"/>
    <w:rsid w:val="009A0C7B"/>
    <w:rsid w:val="009A0F3D"/>
    <w:rsid w:val="009A210B"/>
    <w:rsid w:val="009A268C"/>
    <w:rsid w:val="009A49B5"/>
    <w:rsid w:val="009A4C94"/>
    <w:rsid w:val="009A5175"/>
    <w:rsid w:val="009A552C"/>
    <w:rsid w:val="009B09EA"/>
    <w:rsid w:val="009B1F38"/>
    <w:rsid w:val="009B219C"/>
    <w:rsid w:val="009B2A7A"/>
    <w:rsid w:val="009B3E60"/>
    <w:rsid w:val="009B3EEB"/>
    <w:rsid w:val="009B4D20"/>
    <w:rsid w:val="009B6205"/>
    <w:rsid w:val="009B765D"/>
    <w:rsid w:val="009B7B23"/>
    <w:rsid w:val="009B7DEE"/>
    <w:rsid w:val="009B7F72"/>
    <w:rsid w:val="009C02DB"/>
    <w:rsid w:val="009C0D1A"/>
    <w:rsid w:val="009C171B"/>
    <w:rsid w:val="009C35E7"/>
    <w:rsid w:val="009C372A"/>
    <w:rsid w:val="009C3CE7"/>
    <w:rsid w:val="009C3F36"/>
    <w:rsid w:val="009C40A6"/>
    <w:rsid w:val="009C4C44"/>
    <w:rsid w:val="009C5013"/>
    <w:rsid w:val="009C543C"/>
    <w:rsid w:val="009C5FFF"/>
    <w:rsid w:val="009C6531"/>
    <w:rsid w:val="009C6738"/>
    <w:rsid w:val="009C67FF"/>
    <w:rsid w:val="009C6D09"/>
    <w:rsid w:val="009C7F39"/>
    <w:rsid w:val="009D1066"/>
    <w:rsid w:val="009D2E47"/>
    <w:rsid w:val="009D48DB"/>
    <w:rsid w:val="009D4946"/>
    <w:rsid w:val="009D4A14"/>
    <w:rsid w:val="009D5DD0"/>
    <w:rsid w:val="009D616A"/>
    <w:rsid w:val="009D63AD"/>
    <w:rsid w:val="009D6BFA"/>
    <w:rsid w:val="009D6D14"/>
    <w:rsid w:val="009E016E"/>
    <w:rsid w:val="009E07E8"/>
    <w:rsid w:val="009E1F36"/>
    <w:rsid w:val="009E24EB"/>
    <w:rsid w:val="009E392C"/>
    <w:rsid w:val="009E4A0B"/>
    <w:rsid w:val="009E4F95"/>
    <w:rsid w:val="009E5336"/>
    <w:rsid w:val="009E7003"/>
    <w:rsid w:val="009E75A6"/>
    <w:rsid w:val="009F07DD"/>
    <w:rsid w:val="009F22A6"/>
    <w:rsid w:val="009F2FA2"/>
    <w:rsid w:val="009F42AD"/>
    <w:rsid w:val="009F6EC0"/>
    <w:rsid w:val="00A00738"/>
    <w:rsid w:val="00A00949"/>
    <w:rsid w:val="00A0249C"/>
    <w:rsid w:val="00A027F3"/>
    <w:rsid w:val="00A02F9C"/>
    <w:rsid w:val="00A0361A"/>
    <w:rsid w:val="00A04D95"/>
    <w:rsid w:val="00A0549A"/>
    <w:rsid w:val="00A0614B"/>
    <w:rsid w:val="00A07305"/>
    <w:rsid w:val="00A075BC"/>
    <w:rsid w:val="00A10955"/>
    <w:rsid w:val="00A10A2C"/>
    <w:rsid w:val="00A125C6"/>
    <w:rsid w:val="00A1455D"/>
    <w:rsid w:val="00A147C7"/>
    <w:rsid w:val="00A16494"/>
    <w:rsid w:val="00A17304"/>
    <w:rsid w:val="00A1737D"/>
    <w:rsid w:val="00A20E6A"/>
    <w:rsid w:val="00A22328"/>
    <w:rsid w:val="00A223C4"/>
    <w:rsid w:val="00A239E3"/>
    <w:rsid w:val="00A23E40"/>
    <w:rsid w:val="00A24EEE"/>
    <w:rsid w:val="00A253D8"/>
    <w:rsid w:val="00A253FB"/>
    <w:rsid w:val="00A25A85"/>
    <w:rsid w:val="00A26460"/>
    <w:rsid w:val="00A27A46"/>
    <w:rsid w:val="00A30B5E"/>
    <w:rsid w:val="00A32110"/>
    <w:rsid w:val="00A33BA4"/>
    <w:rsid w:val="00A33E33"/>
    <w:rsid w:val="00A34FE1"/>
    <w:rsid w:val="00A37C82"/>
    <w:rsid w:val="00A4027C"/>
    <w:rsid w:val="00A40F3F"/>
    <w:rsid w:val="00A41569"/>
    <w:rsid w:val="00A41861"/>
    <w:rsid w:val="00A427F8"/>
    <w:rsid w:val="00A42A6A"/>
    <w:rsid w:val="00A42A90"/>
    <w:rsid w:val="00A43256"/>
    <w:rsid w:val="00A43586"/>
    <w:rsid w:val="00A454D5"/>
    <w:rsid w:val="00A46615"/>
    <w:rsid w:val="00A46A80"/>
    <w:rsid w:val="00A47184"/>
    <w:rsid w:val="00A476C5"/>
    <w:rsid w:val="00A47846"/>
    <w:rsid w:val="00A51A18"/>
    <w:rsid w:val="00A525E8"/>
    <w:rsid w:val="00A53B71"/>
    <w:rsid w:val="00A55DEB"/>
    <w:rsid w:val="00A570AA"/>
    <w:rsid w:val="00A60220"/>
    <w:rsid w:val="00A61B88"/>
    <w:rsid w:val="00A63908"/>
    <w:rsid w:val="00A65A34"/>
    <w:rsid w:val="00A65D7D"/>
    <w:rsid w:val="00A66B8D"/>
    <w:rsid w:val="00A67050"/>
    <w:rsid w:val="00A67EE1"/>
    <w:rsid w:val="00A714BE"/>
    <w:rsid w:val="00A722AC"/>
    <w:rsid w:val="00A74444"/>
    <w:rsid w:val="00A75133"/>
    <w:rsid w:val="00A7670E"/>
    <w:rsid w:val="00A76776"/>
    <w:rsid w:val="00A76AF9"/>
    <w:rsid w:val="00A77CAA"/>
    <w:rsid w:val="00A805CE"/>
    <w:rsid w:val="00A81CFA"/>
    <w:rsid w:val="00A842A7"/>
    <w:rsid w:val="00A85F9A"/>
    <w:rsid w:val="00A86247"/>
    <w:rsid w:val="00A86A02"/>
    <w:rsid w:val="00A86E3D"/>
    <w:rsid w:val="00A9010C"/>
    <w:rsid w:val="00A903FA"/>
    <w:rsid w:val="00A90EB2"/>
    <w:rsid w:val="00A91555"/>
    <w:rsid w:val="00A918F0"/>
    <w:rsid w:val="00A92256"/>
    <w:rsid w:val="00A95C60"/>
    <w:rsid w:val="00A95D9C"/>
    <w:rsid w:val="00AA0301"/>
    <w:rsid w:val="00AA1268"/>
    <w:rsid w:val="00AA2C09"/>
    <w:rsid w:val="00AA303A"/>
    <w:rsid w:val="00AA32AF"/>
    <w:rsid w:val="00AA5BBE"/>
    <w:rsid w:val="00AA601B"/>
    <w:rsid w:val="00AA6083"/>
    <w:rsid w:val="00AA618E"/>
    <w:rsid w:val="00AA7C36"/>
    <w:rsid w:val="00AA7F98"/>
    <w:rsid w:val="00AB19DF"/>
    <w:rsid w:val="00AB2980"/>
    <w:rsid w:val="00AB2CB0"/>
    <w:rsid w:val="00AB2F21"/>
    <w:rsid w:val="00AB3378"/>
    <w:rsid w:val="00AB36FB"/>
    <w:rsid w:val="00AB3A4D"/>
    <w:rsid w:val="00AB44A2"/>
    <w:rsid w:val="00AB4728"/>
    <w:rsid w:val="00AB5F9F"/>
    <w:rsid w:val="00AB6672"/>
    <w:rsid w:val="00AB7774"/>
    <w:rsid w:val="00AB7AAC"/>
    <w:rsid w:val="00AB7D20"/>
    <w:rsid w:val="00AC0429"/>
    <w:rsid w:val="00AC0F9D"/>
    <w:rsid w:val="00AC21F5"/>
    <w:rsid w:val="00AC2841"/>
    <w:rsid w:val="00AC2B13"/>
    <w:rsid w:val="00AC31B4"/>
    <w:rsid w:val="00AC3EEF"/>
    <w:rsid w:val="00AC446E"/>
    <w:rsid w:val="00AD282F"/>
    <w:rsid w:val="00AD29A3"/>
    <w:rsid w:val="00AD45BA"/>
    <w:rsid w:val="00AD510B"/>
    <w:rsid w:val="00AD7BE0"/>
    <w:rsid w:val="00AE09C5"/>
    <w:rsid w:val="00AE2CAB"/>
    <w:rsid w:val="00AE438A"/>
    <w:rsid w:val="00AE4436"/>
    <w:rsid w:val="00AE46DF"/>
    <w:rsid w:val="00AE4EC3"/>
    <w:rsid w:val="00AE5316"/>
    <w:rsid w:val="00AE69CF"/>
    <w:rsid w:val="00AE6A55"/>
    <w:rsid w:val="00AE75F8"/>
    <w:rsid w:val="00AF0CBA"/>
    <w:rsid w:val="00AF14FC"/>
    <w:rsid w:val="00AF153D"/>
    <w:rsid w:val="00AF15E8"/>
    <w:rsid w:val="00AF2A9E"/>
    <w:rsid w:val="00AF2DF0"/>
    <w:rsid w:val="00AF3888"/>
    <w:rsid w:val="00AF3F66"/>
    <w:rsid w:val="00AF4697"/>
    <w:rsid w:val="00AF6BFF"/>
    <w:rsid w:val="00AF7218"/>
    <w:rsid w:val="00B0039D"/>
    <w:rsid w:val="00B00C71"/>
    <w:rsid w:val="00B010F8"/>
    <w:rsid w:val="00B0252F"/>
    <w:rsid w:val="00B02713"/>
    <w:rsid w:val="00B03DDB"/>
    <w:rsid w:val="00B0536A"/>
    <w:rsid w:val="00B059D0"/>
    <w:rsid w:val="00B06D67"/>
    <w:rsid w:val="00B06F74"/>
    <w:rsid w:val="00B109FA"/>
    <w:rsid w:val="00B11C0A"/>
    <w:rsid w:val="00B12704"/>
    <w:rsid w:val="00B12D09"/>
    <w:rsid w:val="00B1370C"/>
    <w:rsid w:val="00B137E3"/>
    <w:rsid w:val="00B13C0E"/>
    <w:rsid w:val="00B141AB"/>
    <w:rsid w:val="00B14A6F"/>
    <w:rsid w:val="00B14E59"/>
    <w:rsid w:val="00B15884"/>
    <w:rsid w:val="00B16537"/>
    <w:rsid w:val="00B169EE"/>
    <w:rsid w:val="00B16D43"/>
    <w:rsid w:val="00B16FA3"/>
    <w:rsid w:val="00B1719D"/>
    <w:rsid w:val="00B17302"/>
    <w:rsid w:val="00B178EE"/>
    <w:rsid w:val="00B20651"/>
    <w:rsid w:val="00B20D17"/>
    <w:rsid w:val="00B21E39"/>
    <w:rsid w:val="00B24645"/>
    <w:rsid w:val="00B251D6"/>
    <w:rsid w:val="00B25443"/>
    <w:rsid w:val="00B25B59"/>
    <w:rsid w:val="00B26A8B"/>
    <w:rsid w:val="00B27A36"/>
    <w:rsid w:val="00B27DDC"/>
    <w:rsid w:val="00B30EA8"/>
    <w:rsid w:val="00B3115D"/>
    <w:rsid w:val="00B31216"/>
    <w:rsid w:val="00B31397"/>
    <w:rsid w:val="00B31474"/>
    <w:rsid w:val="00B3324E"/>
    <w:rsid w:val="00B35225"/>
    <w:rsid w:val="00B35D49"/>
    <w:rsid w:val="00B36988"/>
    <w:rsid w:val="00B370E1"/>
    <w:rsid w:val="00B40163"/>
    <w:rsid w:val="00B406ED"/>
    <w:rsid w:val="00B409A2"/>
    <w:rsid w:val="00B40F5E"/>
    <w:rsid w:val="00B4114B"/>
    <w:rsid w:val="00B41C05"/>
    <w:rsid w:val="00B42373"/>
    <w:rsid w:val="00B43D41"/>
    <w:rsid w:val="00B47C0B"/>
    <w:rsid w:val="00B47DEE"/>
    <w:rsid w:val="00B502B2"/>
    <w:rsid w:val="00B50466"/>
    <w:rsid w:val="00B518E2"/>
    <w:rsid w:val="00B51C9A"/>
    <w:rsid w:val="00B54A64"/>
    <w:rsid w:val="00B555A5"/>
    <w:rsid w:val="00B6170C"/>
    <w:rsid w:val="00B61E6C"/>
    <w:rsid w:val="00B620CC"/>
    <w:rsid w:val="00B624F5"/>
    <w:rsid w:val="00B62614"/>
    <w:rsid w:val="00B62F5A"/>
    <w:rsid w:val="00B64A9F"/>
    <w:rsid w:val="00B64D16"/>
    <w:rsid w:val="00B65DE1"/>
    <w:rsid w:val="00B70F52"/>
    <w:rsid w:val="00B71A35"/>
    <w:rsid w:val="00B72399"/>
    <w:rsid w:val="00B73B33"/>
    <w:rsid w:val="00B7449A"/>
    <w:rsid w:val="00B745BB"/>
    <w:rsid w:val="00B75992"/>
    <w:rsid w:val="00B7617E"/>
    <w:rsid w:val="00B80FBB"/>
    <w:rsid w:val="00B811C7"/>
    <w:rsid w:val="00B817D4"/>
    <w:rsid w:val="00B81FAD"/>
    <w:rsid w:val="00B8203B"/>
    <w:rsid w:val="00B82240"/>
    <w:rsid w:val="00B82D88"/>
    <w:rsid w:val="00B8441E"/>
    <w:rsid w:val="00B84D60"/>
    <w:rsid w:val="00B84DF1"/>
    <w:rsid w:val="00B84EA7"/>
    <w:rsid w:val="00B85203"/>
    <w:rsid w:val="00B85ABB"/>
    <w:rsid w:val="00B85EE8"/>
    <w:rsid w:val="00B8675F"/>
    <w:rsid w:val="00B86B30"/>
    <w:rsid w:val="00B87164"/>
    <w:rsid w:val="00B91DDD"/>
    <w:rsid w:val="00B9208D"/>
    <w:rsid w:val="00B92B3C"/>
    <w:rsid w:val="00B92B6C"/>
    <w:rsid w:val="00B92F81"/>
    <w:rsid w:val="00B9372F"/>
    <w:rsid w:val="00B93EA6"/>
    <w:rsid w:val="00B940CA"/>
    <w:rsid w:val="00B9416F"/>
    <w:rsid w:val="00B942A2"/>
    <w:rsid w:val="00B94482"/>
    <w:rsid w:val="00B969E2"/>
    <w:rsid w:val="00B97948"/>
    <w:rsid w:val="00BA18A0"/>
    <w:rsid w:val="00BA24D8"/>
    <w:rsid w:val="00BA31C7"/>
    <w:rsid w:val="00BA3230"/>
    <w:rsid w:val="00BA360C"/>
    <w:rsid w:val="00BA3EFC"/>
    <w:rsid w:val="00BA4A4C"/>
    <w:rsid w:val="00BA5ADA"/>
    <w:rsid w:val="00BA6E22"/>
    <w:rsid w:val="00BA77BC"/>
    <w:rsid w:val="00BA78D1"/>
    <w:rsid w:val="00BB00BB"/>
    <w:rsid w:val="00BB1A27"/>
    <w:rsid w:val="00BB20DF"/>
    <w:rsid w:val="00BB2484"/>
    <w:rsid w:val="00BB2C28"/>
    <w:rsid w:val="00BB2D0C"/>
    <w:rsid w:val="00BB47F3"/>
    <w:rsid w:val="00BB5118"/>
    <w:rsid w:val="00BB60FA"/>
    <w:rsid w:val="00BB64E4"/>
    <w:rsid w:val="00BB6CEF"/>
    <w:rsid w:val="00BB781F"/>
    <w:rsid w:val="00BC2031"/>
    <w:rsid w:val="00BC215E"/>
    <w:rsid w:val="00BC30AA"/>
    <w:rsid w:val="00BC3315"/>
    <w:rsid w:val="00BC3702"/>
    <w:rsid w:val="00BC498F"/>
    <w:rsid w:val="00BC6401"/>
    <w:rsid w:val="00BC6761"/>
    <w:rsid w:val="00BC67AE"/>
    <w:rsid w:val="00BC6E54"/>
    <w:rsid w:val="00BD243B"/>
    <w:rsid w:val="00BD30E9"/>
    <w:rsid w:val="00BD350B"/>
    <w:rsid w:val="00BD3B6E"/>
    <w:rsid w:val="00BD49E3"/>
    <w:rsid w:val="00BD4D63"/>
    <w:rsid w:val="00BD6138"/>
    <w:rsid w:val="00BE06F4"/>
    <w:rsid w:val="00BE0CEE"/>
    <w:rsid w:val="00BE121E"/>
    <w:rsid w:val="00BE7CBC"/>
    <w:rsid w:val="00BF066D"/>
    <w:rsid w:val="00BF07C3"/>
    <w:rsid w:val="00BF12BD"/>
    <w:rsid w:val="00BF235F"/>
    <w:rsid w:val="00BF37FA"/>
    <w:rsid w:val="00BF4A1D"/>
    <w:rsid w:val="00BF6348"/>
    <w:rsid w:val="00BF6864"/>
    <w:rsid w:val="00BF6A28"/>
    <w:rsid w:val="00BF6AD5"/>
    <w:rsid w:val="00BF6D33"/>
    <w:rsid w:val="00BF7776"/>
    <w:rsid w:val="00BF7ACE"/>
    <w:rsid w:val="00C00DB2"/>
    <w:rsid w:val="00C01720"/>
    <w:rsid w:val="00C0238D"/>
    <w:rsid w:val="00C034E1"/>
    <w:rsid w:val="00C0610E"/>
    <w:rsid w:val="00C0644C"/>
    <w:rsid w:val="00C06B41"/>
    <w:rsid w:val="00C07D4F"/>
    <w:rsid w:val="00C10874"/>
    <w:rsid w:val="00C11745"/>
    <w:rsid w:val="00C11848"/>
    <w:rsid w:val="00C11C79"/>
    <w:rsid w:val="00C12996"/>
    <w:rsid w:val="00C12C75"/>
    <w:rsid w:val="00C1302C"/>
    <w:rsid w:val="00C140E7"/>
    <w:rsid w:val="00C14390"/>
    <w:rsid w:val="00C152CF"/>
    <w:rsid w:val="00C157D7"/>
    <w:rsid w:val="00C17E30"/>
    <w:rsid w:val="00C21F2D"/>
    <w:rsid w:val="00C2310B"/>
    <w:rsid w:val="00C23BEE"/>
    <w:rsid w:val="00C24511"/>
    <w:rsid w:val="00C249A6"/>
    <w:rsid w:val="00C25B60"/>
    <w:rsid w:val="00C26271"/>
    <w:rsid w:val="00C321A1"/>
    <w:rsid w:val="00C32492"/>
    <w:rsid w:val="00C326F3"/>
    <w:rsid w:val="00C330C5"/>
    <w:rsid w:val="00C35447"/>
    <w:rsid w:val="00C35712"/>
    <w:rsid w:val="00C41E8A"/>
    <w:rsid w:val="00C42D58"/>
    <w:rsid w:val="00C4459A"/>
    <w:rsid w:val="00C4485B"/>
    <w:rsid w:val="00C45E94"/>
    <w:rsid w:val="00C462D6"/>
    <w:rsid w:val="00C476C8"/>
    <w:rsid w:val="00C47AF9"/>
    <w:rsid w:val="00C50517"/>
    <w:rsid w:val="00C5053A"/>
    <w:rsid w:val="00C5064F"/>
    <w:rsid w:val="00C50845"/>
    <w:rsid w:val="00C512C5"/>
    <w:rsid w:val="00C5132A"/>
    <w:rsid w:val="00C52A0F"/>
    <w:rsid w:val="00C53BC9"/>
    <w:rsid w:val="00C54241"/>
    <w:rsid w:val="00C5626D"/>
    <w:rsid w:val="00C56643"/>
    <w:rsid w:val="00C566A7"/>
    <w:rsid w:val="00C56890"/>
    <w:rsid w:val="00C56BD4"/>
    <w:rsid w:val="00C618A6"/>
    <w:rsid w:val="00C624D1"/>
    <w:rsid w:val="00C62972"/>
    <w:rsid w:val="00C62F53"/>
    <w:rsid w:val="00C63534"/>
    <w:rsid w:val="00C64B54"/>
    <w:rsid w:val="00C652BF"/>
    <w:rsid w:val="00C662B4"/>
    <w:rsid w:val="00C70237"/>
    <w:rsid w:val="00C70384"/>
    <w:rsid w:val="00C72EC7"/>
    <w:rsid w:val="00C73A77"/>
    <w:rsid w:val="00C73B49"/>
    <w:rsid w:val="00C73C7A"/>
    <w:rsid w:val="00C742E6"/>
    <w:rsid w:val="00C74CD0"/>
    <w:rsid w:val="00C74DE1"/>
    <w:rsid w:val="00C754D1"/>
    <w:rsid w:val="00C775F1"/>
    <w:rsid w:val="00C77C0C"/>
    <w:rsid w:val="00C8054B"/>
    <w:rsid w:val="00C82025"/>
    <w:rsid w:val="00C823A4"/>
    <w:rsid w:val="00C84295"/>
    <w:rsid w:val="00C84C27"/>
    <w:rsid w:val="00C863C4"/>
    <w:rsid w:val="00C877EE"/>
    <w:rsid w:val="00C901C7"/>
    <w:rsid w:val="00C90C92"/>
    <w:rsid w:val="00C91F7B"/>
    <w:rsid w:val="00C92A76"/>
    <w:rsid w:val="00C92D69"/>
    <w:rsid w:val="00C94623"/>
    <w:rsid w:val="00C94E0E"/>
    <w:rsid w:val="00C95633"/>
    <w:rsid w:val="00C9582E"/>
    <w:rsid w:val="00C95891"/>
    <w:rsid w:val="00C9777A"/>
    <w:rsid w:val="00C97F05"/>
    <w:rsid w:val="00CA0E3F"/>
    <w:rsid w:val="00CA2C64"/>
    <w:rsid w:val="00CA2C88"/>
    <w:rsid w:val="00CA2DA6"/>
    <w:rsid w:val="00CA474B"/>
    <w:rsid w:val="00CA5AB0"/>
    <w:rsid w:val="00CA728D"/>
    <w:rsid w:val="00CB0541"/>
    <w:rsid w:val="00CB0794"/>
    <w:rsid w:val="00CB265A"/>
    <w:rsid w:val="00CB4171"/>
    <w:rsid w:val="00CB41CE"/>
    <w:rsid w:val="00CB49B5"/>
    <w:rsid w:val="00CB4F0A"/>
    <w:rsid w:val="00CB5445"/>
    <w:rsid w:val="00CB5811"/>
    <w:rsid w:val="00CB5BFE"/>
    <w:rsid w:val="00CB5C7D"/>
    <w:rsid w:val="00CB60AC"/>
    <w:rsid w:val="00CC00EE"/>
    <w:rsid w:val="00CC0D50"/>
    <w:rsid w:val="00CC2592"/>
    <w:rsid w:val="00CC30B1"/>
    <w:rsid w:val="00CC38AD"/>
    <w:rsid w:val="00CC647F"/>
    <w:rsid w:val="00CC74C1"/>
    <w:rsid w:val="00CC7F44"/>
    <w:rsid w:val="00CD0BD0"/>
    <w:rsid w:val="00CD1E37"/>
    <w:rsid w:val="00CD212F"/>
    <w:rsid w:val="00CD2546"/>
    <w:rsid w:val="00CD2837"/>
    <w:rsid w:val="00CD59DA"/>
    <w:rsid w:val="00CD7795"/>
    <w:rsid w:val="00CD7D48"/>
    <w:rsid w:val="00CE0801"/>
    <w:rsid w:val="00CE08E7"/>
    <w:rsid w:val="00CE1A1C"/>
    <w:rsid w:val="00CE1FA3"/>
    <w:rsid w:val="00CE44B3"/>
    <w:rsid w:val="00CE63B1"/>
    <w:rsid w:val="00CE65B5"/>
    <w:rsid w:val="00CE7130"/>
    <w:rsid w:val="00CE7CC4"/>
    <w:rsid w:val="00CE7ED3"/>
    <w:rsid w:val="00CF3B85"/>
    <w:rsid w:val="00CF42EE"/>
    <w:rsid w:val="00CF4708"/>
    <w:rsid w:val="00D003D7"/>
    <w:rsid w:val="00D0155A"/>
    <w:rsid w:val="00D0174D"/>
    <w:rsid w:val="00D020B4"/>
    <w:rsid w:val="00D03BFA"/>
    <w:rsid w:val="00D04373"/>
    <w:rsid w:val="00D04623"/>
    <w:rsid w:val="00D047B4"/>
    <w:rsid w:val="00D04A3B"/>
    <w:rsid w:val="00D05507"/>
    <w:rsid w:val="00D05644"/>
    <w:rsid w:val="00D06E0C"/>
    <w:rsid w:val="00D103FA"/>
    <w:rsid w:val="00D10844"/>
    <w:rsid w:val="00D112F1"/>
    <w:rsid w:val="00D121B5"/>
    <w:rsid w:val="00D144C4"/>
    <w:rsid w:val="00D14A20"/>
    <w:rsid w:val="00D14BD9"/>
    <w:rsid w:val="00D160B9"/>
    <w:rsid w:val="00D16730"/>
    <w:rsid w:val="00D1738C"/>
    <w:rsid w:val="00D215C6"/>
    <w:rsid w:val="00D229BD"/>
    <w:rsid w:val="00D255FB"/>
    <w:rsid w:val="00D25A4A"/>
    <w:rsid w:val="00D26421"/>
    <w:rsid w:val="00D30414"/>
    <w:rsid w:val="00D3055A"/>
    <w:rsid w:val="00D31461"/>
    <w:rsid w:val="00D3205E"/>
    <w:rsid w:val="00D32372"/>
    <w:rsid w:val="00D3238D"/>
    <w:rsid w:val="00D32F63"/>
    <w:rsid w:val="00D330B1"/>
    <w:rsid w:val="00D3340E"/>
    <w:rsid w:val="00D3385E"/>
    <w:rsid w:val="00D345C3"/>
    <w:rsid w:val="00D3488B"/>
    <w:rsid w:val="00D379F0"/>
    <w:rsid w:val="00D40645"/>
    <w:rsid w:val="00D4191C"/>
    <w:rsid w:val="00D41D1E"/>
    <w:rsid w:val="00D41F7A"/>
    <w:rsid w:val="00D4244F"/>
    <w:rsid w:val="00D43431"/>
    <w:rsid w:val="00D4375F"/>
    <w:rsid w:val="00D43E2E"/>
    <w:rsid w:val="00D4416F"/>
    <w:rsid w:val="00D44B76"/>
    <w:rsid w:val="00D44CD9"/>
    <w:rsid w:val="00D4597B"/>
    <w:rsid w:val="00D45C7A"/>
    <w:rsid w:val="00D45FD4"/>
    <w:rsid w:val="00D47DF4"/>
    <w:rsid w:val="00D51CB5"/>
    <w:rsid w:val="00D522CA"/>
    <w:rsid w:val="00D52557"/>
    <w:rsid w:val="00D53063"/>
    <w:rsid w:val="00D5373B"/>
    <w:rsid w:val="00D53858"/>
    <w:rsid w:val="00D54318"/>
    <w:rsid w:val="00D54DE1"/>
    <w:rsid w:val="00D61AFC"/>
    <w:rsid w:val="00D61C68"/>
    <w:rsid w:val="00D6259A"/>
    <w:rsid w:val="00D63FB4"/>
    <w:rsid w:val="00D64398"/>
    <w:rsid w:val="00D657BB"/>
    <w:rsid w:val="00D6639D"/>
    <w:rsid w:val="00D72B2B"/>
    <w:rsid w:val="00D735DB"/>
    <w:rsid w:val="00D74617"/>
    <w:rsid w:val="00D768D3"/>
    <w:rsid w:val="00D77C89"/>
    <w:rsid w:val="00D80080"/>
    <w:rsid w:val="00D81103"/>
    <w:rsid w:val="00D81DC2"/>
    <w:rsid w:val="00D82C9C"/>
    <w:rsid w:val="00D82FB7"/>
    <w:rsid w:val="00D83012"/>
    <w:rsid w:val="00D83211"/>
    <w:rsid w:val="00D8458F"/>
    <w:rsid w:val="00D845CF"/>
    <w:rsid w:val="00D85760"/>
    <w:rsid w:val="00D85970"/>
    <w:rsid w:val="00D8613C"/>
    <w:rsid w:val="00D86AD2"/>
    <w:rsid w:val="00D87BAF"/>
    <w:rsid w:val="00D90B55"/>
    <w:rsid w:val="00D910C6"/>
    <w:rsid w:val="00D911FB"/>
    <w:rsid w:val="00D94908"/>
    <w:rsid w:val="00D95711"/>
    <w:rsid w:val="00D960BE"/>
    <w:rsid w:val="00D96C19"/>
    <w:rsid w:val="00D96C92"/>
    <w:rsid w:val="00DA0AD6"/>
    <w:rsid w:val="00DA1EFE"/>
    <w:rsid w:val="00DA23E5"/>
    <w:rsid w:val="00DA465A"/>
    <w:rsid w:val="00DA5B5D"/>
    <w:rsid w:val="00DA61CC"/>
    <w:rsid w:val="00DA7565"/>
    <w:rsid w:val="00DB052C"/>
    <w:rsid w:val="00DB052E"/>
    <w:rsid w:val="00DB10A6"/>
    <w:rsid w:val="00DB1951"/>
    <w:rsid w:val="00DB2ABD"/>
    <w:rsid w:val="00DB2FC6"/>
    <w:rsid w:val="00DB3102"/>
    <w:rsid w:val="00DB414F"/>
    <w:rsid w:val="00DB4836"/>
    <w:rsid w:val="00DB4B82"/>
    <w:rsid w:val="00DB77AF"/>
    <w:rsid w:val="00DC07AD"/>
    <w:rsid w:val="00DC0DFF"/>
    <w:rsid w:val="00DC1AAE"/>
    <w:rsid w:val="00DC2C2F"/>
    <w:rsid w:val="00DC33B8"/>
    <w:rsid w:val="00DC3482"/>
    <w:rsid w:val="00DC46D4"/>
    <w:rsid w:val="00DC485F"/>
    <w:rsid w:val="00DC5419"/>
    <w:rsid w:val="00DC6801"/>
    <w:rsid w:val="00DC68C5"/>
    <w:rsid w:val="00DD014E"/>
    <w:rsid w:val="00DD13BD"/>
    <w:rsid w:val="00DD27CC"/>
    <w:rsid w:val="00DD3672"/>
    <w:rsid w:val="00DD4BC6"/>
    <w:rsid w:val="00DD63FF"/>
    <w:rsid w:val="00DD6D2C"/>
    <w:rsid w:val="00DD7347"/>
    <w:rsid w:val="00DD7C98"/>
    <w:rsid w:val="00DD7F84"/>
    <w:rsid w:val="00DE21CE"/>
    <w:rsid w:val="00DE28F1"/>
    <w:rsid w:val="00DE2EBC"/>
    <w:rsid w:val="00DE3F2C"/>
    <w:rsid w:val="00DE65F9"/>
    <w:rsid w:val="00DE6B4C"/>
    <w:rsid w:val="00DE729F"/>
    <w:rsid w:val="00DF0179"/>
    <w:rsid w:val="00DF04E9"/>
    <w:rsid w:val="00DF0DCA"/>
    <w:rsid w:val="00DF2DE9"/>
    <w:rsid w:val="00DF4C6C"/>
    <w:rsid w:val="00DF4D1A"/>
    <w:rsid w:val="00DF51EA"/>
    <w:rsid w:val="00DF563E"/>
    <w:rsid w:val="00DF5FFD"/>
    <w:rsid w:val="00DF642C"/>
    <w:rsid w:val="00DF6ACA"/>
    <w:rsid w:val="00DF77DA"/>
    <w:rsid w:val="00E006F9"/>
    <w:rsid w:val="00E016FC"/>
    <w:rsid w:val="00E01A98"/>
    <w:rsid w:val="00E01F4B"/>
    <w:rsid w:val="00E04328"/>
    <w:rsid w:val="00E0465E"/>
    <w:rsid w:val="00E046D9"/>
    <w:rsid w:val="00E0709D"/>
    <w:rsid w:val="00E07A40"/>
    <w:rsid w:val="00E1060F"/>
    <w:rsid w:val="00E1111A"/>
    <w:rsid w:val="00E11703"/>
    <w:rsid w:val="00E13713"/>
    <w:rsid w:val="00E137DC"/>
    <w:rsid w:val="00E13CD7"/>
    <w:rsid w:val="00E158C3"/>
    <w:rsid w:val="00E15901"/>
    <w:rsid w:val="00E15E93"/>
    <w:rsid w:val="00E166D5"/>
    <w:rsid w:val="00E17692"/>
    <w:rsid w:val="00E209E1"/>
    <w:rsid w:val="00E2122D"/>
    <w:rsid w:val="00E21C45"/>
    <w:rsid w:val="00E22520"/>
    <w:rsid w:val="00E22EF3"/>
    <w:rsid w:val="00E236B0"/>
    <w:rsid w:val="00E23FC9"/>
    <w:rsid w:val="00E263A8"/>
    <w:rsid w:val="00E2652B"/>
    <w:rsid w:val="00E2662A"/>
    <w:rsid w:val="00E267EC"/>
    <w:rsid w:val="00E26D84"/>
    <w:rsid w:val="00E26ED4"/>
    <w:rsid w:val="00E26F46"/>
    <w:rsid w:val="00E26F48"/>
    <w:rsid w:val="00E303FB"/>
    <w:rsid w:val="00E31701"/>
    <w:rsid w:val="00E34EF5"/>
    <w:rsid w:val="00E357DA"/>
    <w:rsid w:val="00E3735E"/>
    <w:rsid w:val="00E37595"/>
    <w:rsid w:val="00E378E7"/>
    <w:rsid w:val="00E379A0"/>
    <w:rsid w:val="00E40A94"/>
    <w:rsid w:val="00E412C1"/>
    <w:rsid w:val="00E419D3"/>
    <w:rsid w:val="00E44255"/>
    <w:rsid w:val="00E446FF"/>
    <w:rsid w:val="00E45AB2"/>
    <w:rsid w:val="00E46025"/>
    <w:rsid w:val="00E465EA"/>
    <w:rsid w:val="00E47EE0"/>
    <w:rsid w:val="00E505C8"/>
    <w:rsid w:val="00E5108E"/>
    <w:rsid w:val="00E5477C"/>
    <w:rsid w:val="00E56A55"/>
    <w:rsid w:val="00E57847"/>
    <w:rsid w:val="00E57F10"/>
    <w:rsid w:val="00E605D4"/>
    <w:rsid w:val="00E60F40"/>
    <w:rsid w:val="00E61EEB"/>
    <w:rsid w:val="00E620ED"/>
    <w:rsid w:val="00E6219C"/>
    <w:rsid w:val="00E6248C"/>
    <w:rsid w:val="00E629BF"/>
    <w:rsid w:val="00E65FF1"/>
    <w:rsid w:val="00E6693F"/>
    <w:rsid w:val="00E70045"/>
    <w:rsid w:val="00E70081"/>
    <w:rsid w:val="00E7024C"/>
    <w:rsid w:val="00E70D05"/>
    <w:rsid w:val="00E72585"/>
    <w:rsid w:val="00E72F1A"/>
    <w:rsid w:val="00E74B7E"/>
    <w:rsid w:val="00E74D88"/>
    <w:rsid w:val="00E7533C"/>
    <w:rsid w:val="00E76497"/>
    <w:rsid w:val="00E77E30"/>
    <w:rsid w:val="00E803BC"/>
    <w:rsid w:val="00E803E6"/>
    <w:rsid w:val="00E80506"/>
    <w:rsid w:val="00E811A0"/>
    <w:rsid w:val="00E81643"/>
    <w:rsid w:val="00E81BB2"/>
    <w:rsid w:val="00E82B84"/>
    <w:rsid w:val="00E82C05"/>
    <w:rsid w:val="00E845AF"/>
    <w:rsid w:val="00E84D9D"/>
    <w:rsid w:val="00E84E59"/>
    <w:rsid w:val="00E850D9"/>
    <w:rsid w:val="00E853D9"/>
    <w:rsid w:val="00E85A99"/>
    <w:rsid w:val="00E911EC"/>
    <w:rsid w:val="00E9258C"/>
    <w:rsid w:val="00E92CFA"/>
    <w:rsid w:val="00E93364"/>
    <w:rsid w:val="00E93A05"/>
    <w:rsid w:val="00E93C9C"/>
    <w:rsid w:val="00E93D87"/>
    <w:rsid w:val="00E95368"/>
    <w:rsid w:val="00E9646B"/>
    <w:rsid w:val="00E96532"/>
    <w:rsid w:val="00E97189"/>
    <w:rsid w:val="00EA084E"/>
    <w:rsid w:val="00EA2627"/>
    <w:rsid w:val="00EA4BEB"/>
    <w:rsid w:val="00EB0271"/>
    <w:rsid w:val="00EB1F8A"/>
    <w:rsid w:val="00EB33E0"/>
    <w:rsid w:val="00EB5074"/>
    <w:rsid w:val="00EB5B46"/>
    <w:rsid w:val="00EB5D11"/>
    <w:rsid w:val="00EB5D98"/>
    <w:rsid w:val="00EC0703"/>
    <w:rsid w:val="00EC0957"/>
    <w:rsid w:val="00EC0D93"/>
    <w:rsid w:val="00EC114E"/>
    <w:rsid w:val="00EC1452"/>
    <w:rsid w:val="00EC2C2A"/>
    <w:rsid w:val="00EC2D9D"/>
    <w:rsid w:val="00EC345D"/>
    <w:rsid w:val="00EC470D"/>
    <w:rsid w:val="00EC4B78"/>
    <w:rsid w:val="00EC4DF5"/>
    <w:rsid w:val="00EC556A"/>
    <w:rsid w:val="00EC7A4B"/>
    <w:rsid w:val="00ED0FD2"/>
    <w:rsid w:val="00ED22AB"/>
    <w:rsid w:val="00ED3F73"/>
    <w:rsid w:val="00ED5853"/>
    <w:rsid w:val="00ED5C92"/>
    <w:rsid w:val="00ED5CE9"/>
    <w:rsid w:val="00ED63C4"/>
    <w:rsid w:val="00ED683A"/>
    <w:rsid w:val="00EE0028"/>
    <w:rsid w:val="00EE0D18"/>
    <w:rsid w:val="00EE114A"/>
    <w:rsid w:val="00EE2EBB"/>
    <w:rsid w:val="00EE3008"/>
    <w:rsid w:val="00EE54B5"/>
    <w:rsid w:val="00EE5C49"/>
    <w:rsid w:val="00EE5E68"/>
    <w:rsid w:val="00EE68FA"/>
    <w:rsid w:val="00EE6FA5"/>
    <w:rsid w:val="00EE772D"/>
    <w:rsid w:val="00EE7A2A"/>
    <w:rsid w:val="00EF0702"/>
    <w:rsid w:val="00EF1A60"/>
    <w:rsid w:val="00EF2F01"/>
    <w:rsid w:val="00EF333D"/>
    <w:rsid w:val="00EF37D3"/>
    <w:rsid w:val="00EF4F97"/>
    <w:rsid w:val="00EF62EE"/>
    <w:rsid w:val="00F00102"/>
    <w:rsid w:val="00F00135"/>
    <w:rsid w:val="00F00AB3"/>
    <w:rsid w:val="00F00DCD"/>
    <w:rsid w:val="00F01E8C"/>
    <w:rsid w:val="00F05B4E"/>
    <w:rsid w:val="00F05FAD"/>
    <w:rsid w:val="00F067CC"/>
    <w:rsid w:val="00F06DE5"/>
    <w:rsid w:val="00F07C5E"/>
    <w:rsid w:val="00F07D3D"/>
    <w:rsid w:val="00F108C8"/>
    <w:rsid w:val="00F12F1D"/>
    <w:rsid w:val="00F133D6"/>
    <w:rsid w:val="00F13E28"/>
    <w:rsid w:val="00F14180"/>
    <w:rsid w:val="00F1545B"/>
    <w:rsid w:val="00F1763F"/>
    <w:rsid w:val="00F20553"/>
    <w:rsid w:val="00F227E0"/>
    <w:rsid w:val="00F23E0E"/>
    <w:rsid w:val="00F26297"/>
    <w:rsid w:val="00F274A9"/>
    <w:rsid w:val="00F274D6"/>
    <w:rsid w:val="00F275A4"/>
    <w:rsid w:val="00F27645"/>
    <w:rsid w:val="00F27B89"/>
    <w:rsid w:val="00F3116E"/>
    <w:rsid w:val="00F31EC1"/>
    <w:rsid w:val="00F32213"/>
    <w:rsid w:val="00F3275E"/>
    <w:rsid w:val="00F32931"/>
    <w:rsid w:val="00F35008"/>
    <w:rsid w:val="00F3540A"/>
    <w:rsid w:val="00F3582B"/>
    <w:rsid w:val="00F361A2"/>
    <w:rsid w:val="00F36902"/>
    <w:rsid w:val="00F4024F"/>
    <w:rsid w:val="00F40BCB"/>
    <w:rsid w:val="00F416E7"/>
    <w:rsid w:val="00F4177E"/>
    <w:rsid w:val="00F41FD4"/>
    <w:rsid w:val="00F42A1A"/>
    <w:rsid w:val="00F42B63"/>
    <w:rsid w:val="00F43232"/>
    <w:rsid w:val="00F4378A"/>
    <w:rsid w:val="00F477C7"/>
    <w:rsid w:val="00F50320"/>
    <w:rsid w:val="00F505EC"/>
    <w:rsid w:val="00F55A41"/>
    <w:rsid w:val="00F572B9"/>
    <w:rsid w:val="00F574D5"/>
    <w:rsid w:val="00F57673"/>
    <w:rsid w:val="00F57A74"/>
    <w:rsid w:val="00F6162E"/>
    <w:rsid w:val="00F620DA"/>
    <w:rsid w:val="00F62B54"/>
    <w:rsid w:val="00F62BEA"/>
    <w:rsid w:val="00F62C3A"/>
    <w:rsid w:val="00F641F3"/>
    <w:rsid w:val="00F64D80"/>
    <w:rsid w:val="00F64FDB"/>
    <w:rsid w:val="00F655D9"/>
    <w:rsid w:val="00F65821"/>
    <w:rsid w:val="00F6627B"/>
    <w:rsid w:val="00F673DB"/>
    <w:rsid w:val="00F67D1B"/>
    <w:rsid w:val="00F702B8"/>
    <w:rsid w:val="00F7068C"/>
    <w:rsid w:val="00F72153"/>
    <w:rsid w:val="00F726DC"/>
    <w:rsid w:val="00F729EF"/>
    <w:rsid w:val="00F72D8B"/>
    <w:rsid w:val="00F73518"/>
    <w:rsid w:val="00F741AD"/>
    <w:rsid w:val="00F7498F"/>
    <w:rsid w:val="00F75E80"/>
    <w:rsid w:val="00F75F1F"/>
    <w:rsid w:val="00F7644D"/>
    <w:rsid w:val="00F778B3"/>
    <w:rsid w:val="00F81114"/>
    <w:rsid w:val="00F81313"/>
    <w:rsid w:val="00F81443"/>
    <w:rsid w:val="00F820E4"/>
    <w:rsid w:val="00F842DC"/>
    <w:rsid w:val="00F86769"/>
    <w:rsid w:val="00F87D3D"/>
    <w:rsid w:val="00F87E38"/>
    <w:rsid w:val="00F90091"/>
    <w:rsid w:val="00F911A7"/>
    <w:rsid w:val="00F94114"/>
    <w:rsid w:val="00F941A1"/>
    <w:rsid w:val="00F94308"/>
    <w:rsid w:val="00F95450"/>
    <w:rsid w:val="00F95E5A"/>
    <w:rsid w:val="00F96308"/>
    <w:rsid w:val="00FA567E"/>
    <w:rsid w:val="00FA75D4"/>
    <w:rsid w:val="00FA7D36"/>
    <w:rsid w:val="00FB0CC9"/>
    <w:rsid w:val="00FB198E"/>
    <w:rsid w:val="00FB384B"/>
    <w:rsid w:val="00FB3BFA"/>
    <w:rsid w:val="00FB4198"/>
    <w:rsid w:val="00FB49E7"/>
    <w:rsid w:val="00FB4A9C"/>
    <w:rsid w:val="00FB581A"/>
    <w:rsid w:val="00FB65C3"/>
    <w:rsid w:val="00FB7852"/>
    <w:rsid w:val="00FC0CA5"/>
    <w:rsid w:val="00FC136D"/>
    <w:rsid w:val="00FC148E"/>
    <w:rsid w:val="00FC156B"/>
    <w:rsid w:val="00FC1F2A"/>
    <w:rsid w:val="00FC2134"/>
    <w:rsid w:val="00FC3A1A"/>
    <w:rsid w:val="00FC3E53"/>
    <w:rsid w:val="00FC3FA4"/>
    <w:rsid w:val="00FC5408"/>
    <w:rsid w:val="00FC57AE"/>
    <w:rsid w:val="00FC6A39"/>
    <w:rsid w:val="00FC70A3"/>
    <w:rsid w:val="00FD0E59"/>
    <w:rsid w:val="00FD28D1"/>
    <w:rsid w:val="00FD2AD1"/>
    <w:rsid w:val="00FD3068"/>
    <w:rsid w:val="00FD38F9"/>
    <w:rsid w:val="00FD4852"/>
    <w:rsid w:val="00FD543B"/>
    <w:rsid w:val="00FD61A3"/>
    <w:rsid w:val="00FD6B2A"/>
    <w:rsid w:val="00FD6EFE"/>
    <w:rsid w:val="00FE045F"/>
    <w:rsid w:val="00FE0B3D"/>
    <w:rsid w:val="00FE0F8B"/>
    <w:rsid w:val="00FE1506"/>
    <w:rsid w:val="00FE156B"/>
    <w:rsid w:val="00FE1DCA"/>
    <w:rsid w:val="00FE2B55"/>
    <w:rsid w:val="00FE526A"/>
    <w:rsid w:val="00FE5280"/>
    <w:rsid w:val="00FE5899"/>
    <w:rsid w:val="00FE5BE5"/>
    <w:rsid w:val="00FE6313"/>
    <w:rsid w:val="00FE6364"/>
    <w:rsid w:val="00FE7138"/>
    <w:rsid w:val="00FE76A1"/>
    <w:rsid w:val="00FF03FA"/>
    <w:rsid w:val="00FF0999"/>
    <w:rsid w:val="00FF0B22"/>
    <w:rsid w:val="00FF0F14"/>
    <w:rsid w:val="00FF1249"/>
    <w:rsid w:val="00FF1D65"/>
    <w:rsid w:val="00FF3A0C"/>
    <w:rsid w:val="00FF41F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colormru v:ext="edit" colors="#06c"/>
      <o:colormenu v:ext="edit" fillcolor="none"/>
    </o:shapedefaults>
    <o:shapelayout v:ext="edit">
      <o:idmap v:ext="edit" data="1"/>
    </o:shapelayout>
  </w:shapeDefaults>
  <w:decimalSymbol w:val=","/>
  <w:listSeparator w:val=";"/>
  <w15:docId w15:val="{8D8D09D5-8F8E-487D-B4C7-BFDF00955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09D"/>
    <w:rPr>
      <w:sz w:val="24"/>
      <w:szCs w:val="24"/>
      <w:lang w:val="es-ES" w:eastAsia="es-ES"/>
    </w:rPr>
  </w:style>
  <w:style w:type="paragraph" w:styleId="Ttulo1">
    <w:name w:val="heading 1"/>
    <w:basedOn w:val="Normal"/>
    <w:next w:val="Normal"/>
    <w:link w:val="Ttulo1Car"/>
    <w:qFormat/>
    <w:rsid w:val="00696972"/>
    <w:pPr>
      <w:keepNext/>
      <w:numPr>
        <w:numId w:val="25"/>
      </w:numPr>
      <w:suppressAutoHyphens/>
      <w:outlineLvl w:val="0"/>
    </w:pPr>
    <w:rPr>
      <w:rFonts w:ascii="Calibri" w:hAnsi="Calibri" w:cs="Arial"/>
      <w:b/>
      <w:bCs/>
      <w:color w:val="595959" w:themeColor="text1" w:themeTint="A6"/>
      <w:kern w:val="32"/>
      <w:sz w:val="28"/>
      <w:szCs w:val="28"/>
    </w:rPr>
  </w:style>
  <w:style w:type="paragraph" w:styleId="Ttulo2">
    <w:name w:val="heading 2"/>
    <w:basedOn w:val="Normal"/>
    <w:next w:val="Normal"/>
    <w:qFormat/>
    <w:rsid w:val="00371929"/>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semiHidden/>
    <w:unhideWhenUsed/>
    <w:qFormat/>
    <w:rsid w:val="002B047D"/>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C0703"/>
    <w:pPr>
      <w:tabs>
        <w:tab w:val="center" w:pos="4252"/>
        <w:tab w:val="right" w:pos="8504"/>
      </w:tabs>
    </w:pPr>
  </w:style>
  <w:style w:type="paragraph" w:styleId="Piedepgina">
    <w:name w:val="footer"/>
    <w:basedOn w:val="Normal"/>
    <w:link w:val="PiedepginaCar"/>
    <w:uiPriority w:val="99"/>
    <w:rsid w:val="00EC0703"/>
    <w:pPr>
      <w:tabs>
        <w:tab w:val="center" w:pos="4252"/>
        <w:tab w:val="right" w:pos="8504"/>
      </w:tabs>
    </w:pPr>
  </w:style>
  <w:style w:type="paragraph" w:styleId="Textonotapie">
    <w:name w:val="footnote text"/>
    <w:basedOn w:val="Normal"/>
    <w:link w:val="TextonotapieCar"/>
    <w:semiHidden/>
    <w:rsid w:val="00281CE8"/>
    <w:rPr>
      <w:sz w:val="20"/>
      <w:szCs w:val="20"/>
    </w:rPr>
  </w:style>
  <w:style w:type="character" w:styleId="Refdenotaalpie">
    <w:name w:val="footnote reference"/>
    <w:semiHidden/>
    <w:rsid w:val="00281CE8"/>
    <w:rPr>
      <w:vertAlign w:val="superscript"/>
    </w:rPr>
  </w:style>
  <w:style w:type="character" w:styleId="Nmerodepgina">
    <w:name w:val="page number"/>
    <w:basedOn w:val="Fuentedeprrafopredeter"/>
    <w:rsid w:val="006A33AF"/>
  </w:style>
  <w:style w:type="paragraph" w:styleId="Textodeglobo">
    <w:name w:val="Balloon Text"/>
    <w:basedOn w:val="Normal"/>
    <w:semiHidden/>
    <w:rsid w:val="006A33AF"/>
    <w:rPr>
      <w:rFonts w:ascii="Tahoma" w:hAnsi="Tahoma" w:cs="Tahoma"/>
      <w:sz w:val="16"/>
      <w:szCs w:val="16"/>
    </w:rPr>
  </w:style>
  <w:style w:type="character" w:customStyle="1" w:styleId="Ttulo1Car">
    <w:name w:val="Título 1 Car"/>
    <w:link w:val="Ttulo1"/>
    <w:rsid w:val="00696972"/>
    <w:rPr>
      <w:rFonts w:ascii="Calibri" w:hAnsi="Calibri" w:cs="Arial"/>
      <w:b/>
      <w:bCs/>
      <w:color w:val="595959" w:themeColor="text1" w:themeTint="A6"/>
      <w:kern w:val="32"/>
      <w:sz w:val="28"/>
      <w:szCs w:val="28"/>
      <w:lang w:val="es-ES" w:eastAsia="es-ES"/>
    </w:rPr>
  </w:style>
  <w:style w:type="paragraph" w:styleId="TDC1">
    <w:name w:val="toc 1"/>
    <w:basedOn w:val="TtuloTDC"/>
    <w:next w:val="Normal"/>
    <w:link w:val="TDC1Car"/>
    <w:autoRedefine/>
    <w:uiPriority w:val="39"/>
    <w:qFormat/>
    <w:rsid w:val="00436337"/>
    <w:pPr>
      <w:tabs>
        <w:tab w:val="right" w:pos="480"/>
        <w:tab w:val="left" w:pos="960"/>
        <w:tab w:val="right" w:leader="dot" w:pos="8789"/>
      </w:tabs>
      <w:spacing w:before="120"/>
      <w:ind w:left="360"/>
    </w:pPr>
    <w:rPr>
      <w:rFonts w:ascii="Calibri" w:hAnsi="Calibri"/>
      <w:bCs w:val="0"/>
      <w:iCs/>
      <w:noProof/>
      <w:color w:val="595959" w:themeColor="text1" w:themeTint="A6"/>
      <w:sz w:val="32"/>
    </w:rPr>
  </w:style>
  <w:style w:type="paragraph" w:styleId="TDC2">
    <w:name w:val="toc 2"/>
    <w:basedOn w:val="Titulo11"/>
    <w:next w:val="Normal"/>
    <w:autoRedefine/>
    <w:uiPriority w:val="39"/>
    <w:qFormat/>
    <w:rsid w:val="0025674A"/>
    <w:pPr>
      <w:keepNext w:val="0"/>
      <w:tabs>
        <w:tab w:val="right" w:leader="underscore" w:pos="8828"/>
      </w:tabs>
      <w:suppressAutoHyphens w:val="0"/>
      <w:spacing w:before="120" w:line="480" w:lineRule="auto"/>
      <w:ind w:left="238"/>
      <w:outlineLvl w:val="9"/>
    </w:pPr>
    <w:rPr>
      <w:rFonts w:cs="Times New Roman"/>
      <w:kern w:val="0"/>
      <w:szCs w:val="22"/>
    </w:rPr>
  </w:style>
  <w:style w:type="paragraph" w:styleId="TDC3">
    <w:name w:val="toc 3"/>
    <w:basedOn w:val="Titulo111"/>
    <w:next w:val="Normal"/>
    <w:autoRedefine/>
    <w:uiPriority w:val="39"/>
    <w:qFormat/>
    <w:rsid w:val="0025674A"/>
    <w:pPr>
      <w:tabs>
        <w:tab w:val="right" w:pos="284"/>
        <w:tab w:val="right" w:leader="dot" w:pos="8789"/>
      </w:tabs>
      <w:spacing w:before="120"/>
      <w:outlineLvl w:val="2"/>
    </w:pPr>
    <w:rPr>
      <w:sz w:val="26"/>
      <w:szCs w:val="20"/>
    </w:rPr>
  </w:style>
  <w:style w:type="paragraph" w:styleId="TDC4">
    <w:name w:val="toc 4"/>
    <w:basedOn w:val="Normal"/>
    <w:next w:val="Normal"/>
    <w:autoRedefine/>
    <w:semiHidden/>
    <w:rsid w:val="00371929"/>
    <w:pPr>
      <w:ind w:left="720"/>
    </w:pPr>
    <w:rPr>
      <w:sz w:val="20"/>
      <w:szCs w:val="20"/>
    </w:rPr>
  </w:style>
  <w:style w:type="paragraph" w:styleId="TDC5">
    <w:name w:val="toc 5"/>
    <w:basedOn w:val="Normal"/>
    <w:next w:val="Normal"/>
    <w:autoRedefine/>
    <w:semiHidden/>
    <w:rsid w:val="00371929"/>
    <w:pPr>
      <w:ind w:left="960"/>
    </w:pPr>
    <w:rPr>
      <w:sz w:val="20"/>
      <w:szCs w:val="20"/>
    </w:rPr>
  </w:style>
  <w:style w:type="paragraph" w:styleId="TDC6">
    <w:name w:val="toc 6"/>
    <w:basedOn w:val="Normal"/>
    <w:next w:val="Normal"/>
    <w:autoRedefine/>
    <w:semiHidden/>
    <w:rsid w:val="00371929"/>
    <w:pPr>
      <w:ind w:left="1200"/>
    </w:pPr>
    <w:rPr>
      <w:sz w:val="20"/>
      <w:szCs w:val="20"/>
    </w:rPr>
  </w:style>
  <w:style w:type="paragraph" w:styleId="TDC7">
    <w:name w:val="toc 7"/>
    <w:basedOn w:val="Normal"/>
    <w:next w:val="Normal"/>
    <w:autoRedefine/>
    <w:semiHidden/>
    <w:rsid w:val="00371929"/>
    <w:pPr>
      <w:ind w:left="1440"/>
    </w:pPr>
    <w:rPr>
      <w:sz w:val="20"/>
      <w:szCs w:val="20"/>
    </w:rPr>
  </w:style>
  <w:style w:type="paragraph" w:styleId="TDC8">
    <w:name w:val="toc 8"/>
    <w:basedOn w:val="Normal"/>
    <w:next w:val="Normal"/>
    <w:autoRedefine/>
    <w:semiHidden/>
    <w:rsid w:val="00371929"/>
    <w:pPr>
      <w:ind w:left="1680"/>
    </w:pPr>
    <w:rPr>
      <w:sz w:val="20"/>
      <w:szCs w:val="20"/>
    </w:rPr>
  </w:style>
  <w:style w:type="paragraph" w:styleId="TDC9">
    <w:name w:val="toc 9"/>
    <w:basedOn w:val="Normal"/>
    <w:next w:val="Normal"/>
    <w:autoRedefine/>
    <w:semiHidden/>
    <w:rsid w:val="00371929"/>
    <w:pPr>
      <w:ind w:left="1920"/>
    </w:pPr>
    <w:rPr>
      <w:sz w:val="20"/>
      <w:szCs w:val="20"/>
    </w:rPr>
  </w:style>
  <w:style w:type="character" w:styleId="Hipervnculo">
    <w:name w:val="Hyperlink"/>
    <w:uiPriority w:val="99"/>
    <w:rsid w:val="00371929"/>
    <w:rPr>
      <w:color w:val="0000FF"/>
      <w:u w:val="single"/>
    </w:rPr>
  </w:style>
  <w:style w:type="character" w:customStyle="1" w:styleId="PiedepginaCar">
    <w:name w:val="Pie de página Car"/>
    <w:link w:val="Piedepgina"/>
    <w:uiPriority w:val="99"/>
    <w:rsid w:val="00460E04"/>
    <w:rPr>
      <w:sz w:val="24"/>
      <w:szCs w:val="24"/>
      <w:lang w:val="es-ES" w:eastAsia="es-ES"/>
    </w:rPr>
  </w:style>
  <w:style w:type="character" w:customStyle="1" w:styleId="EncabezadoCar">
    <w:name w:val="Encabezado Car"/>
    <w:link w:val="Encabezado"/>
    <w:uiPriority w:val="99"/>
    <w:rsid w:val="00763342"/>
    <w:rPr>
      <w:sz w:val="24"/>
      <w:szCs w:val="24"/>
      <w:lang w:val="es-ES" w:eastAsia="es-ES"/>
    </w:rPr>
  </w:style>
  <w:style w:type="paragraph" w:styleId="Prrafodelista">
    <w:name w:val="List Paragraph"/>
    <w:basedOn w:val="Normal"/>
    <w:uiPriority w:val="34"/>
    <w:qFormat/>
    <w:rsid w:val="007B6CDB"/>
    <w:pPr>
      <w:ind w:left="720"/>
      <w:contextualSpacing/>
    </w:pPr>
  </w:style>
  <w:style w:type="paragraph" w:styleId="Sinespaciado">
    <w:name w:val="No Spacing"/>
    <w:link w:val="SinespaciadoCar"/>
    <w:uiPriority w:val="1"/>
    <w:qFormat/>
    <w:rsid w:val="00B12D09"/>
    <w:rPr>
      <w:rFonts w:asciiTheme="minorHAnsi" w:eastAsiaTheme="minorEastAsia" w:hAnsiTheme="minorHAnsi" w:cstheme="minorBidi"/>
      <w:sz w:val="22"/>
      <w:szCs w:val="22"/>
    </w:rPr>
  </w:style>
  <w:style w:type="character" w:customStyle="1" w:styleId="SinespaciadoCar">
    <w:name w:val="Sin espaciado Car"/>
    <w:basedOn w:val="Fuentedeprrafopredeter"/>
    <w:link w:val="Sinespaciado"/>
    <w:uiPriority w:val="1"/>
    <w:rsid w:val="00B12D09"/>
    <w:rPr>
      <w:rFonts w:asciiTheme="minorHAnsi" w:eastAsiaTheme="minorEastAsia" w:hAnsiTheme="minorHAnsi" w:cstheme="minorBidi"/>
      <w:sz w:val="22"/>
      <w:szCs w:val="22"/>
    </w:rPr>
  </w:style>
  <w:style w:type="paragraph" w:styleId="ndice1">
    <w:name w:val="index 1"/>
    <w:basedOn w:val="Normal"/>
    <w:next w:val="Normal"/>
    <w:autoRedefine/>
    <w:uiPriority w:val="99"/>
    <w:rsid w:val="00D03BFA"/>
    <w:pPr>
      <w:tabs>
        <w:tab w:val="right" w:leader="dot" w:pos="8637"/>
      </w:tabs>
      <w:ind w:left="240" w:hanging="240"/>
    </w:pPr>
    <w:rPr>
      <w:rFonts w:asciiTheme="minorHAnsi" w:hAnsiTheme="minorHAnsi" w:cs="Arial"/>
      <w:b/>
      <w:bCs/>
      <w:noProof/>
      <w:color w:val="595959"/>
      <w:kern w:val="32"/>
      <w:sz w:val="28"/>
    </w:rPr>
  </w:style>
  <w:style w:type="paragraph" w:customStyle="1" w:styleId="Titulo11">
    <w:name w:val="Titulo11"/>
    <w:basedOn w:val="Ttulo1"/>
    <w:next w:val="Normal"/>
    <w:autoRedefine/>
    <w:qFormat/>
    <w:rsid w:val="00D03BFA"/>
    <w:pPr>
      <w:numPr>
        <w:numId w:val="0"/>
      </w:numPr>
      <w:ind w:left="284"/>
    </w:pPr>
  </w:style>
  <w:style w:type="paragraph" w:customStyle="1" w:styleId="Titulo111">
    <w:name w:val="Titulo111"/>
    <w:basedOn w:val="Ttulo1"/>
    <w:next w:val="Normal"/>
    <w:qFormat/>
    <w:rsid w:val="0053209D"/>
    <w:pPr>
      <w:numPr>
        <w:numId w:val="0"/>
      </w:numPr>
      <w:ind w:left="567"/>
    </w:pPr>
    <w:rPr>
      <w:bCs w:val="0"/>
      <w:color w:val="595959"/>
    </w:rPr>
  </w:style>
  <w:style w:type="paragraph" w:customStyle="1" w:styleId="Estiloindice">
    <w:name w:val="Estiloindice"/>
    <w:basedOn w:val="TDC1"/>
    <w:link w:val="EstiloindiceCar"/>
    <w:qFormat/>
    <w:rsid w:val="00590BFD"/>
    <w:pPr>
      <w:tabs>
        <w:tab w:val="left" w:leader="dot" w:pos="480"/>
      </w:tabs>
    </w:pPr>
  </w:style>
  <w:style w:type="character" w:customStyle="1" w:styleId="Ttulo3Car">
    <w:name w:val="Título 3 Car"/>
    <w:basedOn w:val="Fuentedeprrafopredeter"/>
    <w:link w:val="Ttulo3"/>
    <w:semiHidden/>
    <w:rsid w:val="002B047D"/>
    <w:rPr>
      <w:rFonts w:asciiTheme="majorHAnsi" w:eastAsiaTheme="majorEastAsia" w:hAnsiTheme="majorHAnsi" w:cstheme="majorBidi"/>
      <w:b/>
      <w:bCs/>
      <w:color w:val="4F81BD" w:themeColor="accent1"/>
      <w:sz w:val="24"/>
      <w:szCs w:val="24"/>
      <w:lang w:val="es-ES" w:eastAsia="es-ES"/>
    </w:rPr>
  </w:style>
  <w:style w:type="character" w:customStyle="1" w:styleId="TDC1Car">
    <w:name w:val="TDC 1 Car"/>
    <w:basedOn w:val="Fuentedeprrafopredeter"/>
    <w:link w:val="TDC1"/>
    <w:uiPriority w:val="39"/>
    <w:rsid w:val="00436337"/>
    <w:rPr>
      <w:rFonts w:ascii="Calibri" w:eastAsiaTheme="majorEastAsia" w:hAnsi="Calibri" w:cstheme="majorBidi"/>
      <w:b/>
      <w:iCs/>
      <w:noProof/>
      <w:color w:val="595959" w:themeColor="text1" w:themeTint="A6"/>
      <w:sz w:val="32"/>
      <w:szCs w:val="28"/>
      <w:lang w:val="es-ES" w:eastAsia="es-ES"/>
    </w:rPr>
  </w:style>
  <w:style w:type="character" w:customStyle="1" w:styleId="EstiloindiceCar">
    <w:name w:val="Estiloindice Car"/>
    <w:basedOn w:val="TDC1Car"/>
    <w:link w:val="Estiloindice"/>
    <w:rsid w:val="00590BFD"/>
    <w:rPr>
      <w:rFonts w:ascii="Calibri" w:eastAsiaTheme="majorEastAsia" w:hAnsi="Calibri" w:cs="Arial"/>
      <w:b/>
      <w:iCs/>
      <w:noProof/>
      <w:color w:val="595959" w:themeColor="text1" w:themeTint="A6"/>
      <w:kern w:val="32"/>
      <w:sz w:val="28"/>
      <w:szCs w:val="28"/>
      <w:lang w:val="es-ES" w:eastAsia="es-ES"/>
    </w:rPr>
  </w:style>
  <w:style w:type="table" w:styleId="Tablaconcuadrcula">
    <w:name w:val="Table Grid"/>
    <w:basedOn w:val="Tablanormal"/>
    <w:rsid w:val="00670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semiHidden/>
    <w:unhideWhenUsed/>
    <w:qFormat/>
    <w:rsid w:val="006A5035"/>
    <w:pPr>
      <w:keepLines/>
      <w:numPr>
        <w:numId w:val="0"/>
      </w:numPr>
      <w:suppressAutoHyphens w:val="0"/>
      <w:spacing w:before="480"/>
      <w:outlineLvl w:val="9"/>
    </w:pPr>
    <w:rPr>
      <w:rFonts w:asciiTheme="majorHAnsi" w:eastAsiaTheme="majorEastAsia" w:hAnsiTheme="majorHAnsi" w:cstheme="majorBidi"/>
      <w:color w:val="365F91" w:themeColor="accent1" w:themeShade="BF"/>
      <w:kern w:val="0"/>
    </w:rPr>
  </w:style>
  <w:style w:type="paragraph" w:styleId="Ttulo">
    <w:name w:val="Title"/>
    <w:basedOn w:val="Normal"/>
    <w:next w:val="Normal"/>
    <w:link w:val="TtuloCar"/>
    <w:qFormat/>
    <w:rsid w:val="006C1F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6C1F58"/>
    <w:rPr>
      <w:rFonts w:asciiTheme="majorHAnsi" w:eastAsiaTheme="majorEastAsia" w:hAnsiTheme="majorHAnsi" w:cstheme="majorBidi"/>
      <w:color w:val="17365D" w:themeColor="text2" w:themeShade="BF"/>
      <w:spacing w:val="5"/>
      <w:kern w:val="28"/>
      <w:sz w:val="52"/>
      <w:szCs w:val="52"/>
      <w:lang w:val="es-ES" w:eastAsia="es-ES"/>
    </w:rPr>
  </w:style>
  <w:style w:type="paragraph" w:styleId="Subttulo">
    <w:name w:val="Subtitle"/>
    <w:basedOn w:val="Normal"/>
    <w:next w:val="Normal"/>
    <w:link w:val="SubttuloCar"/>
    <w:qFormat/>
    <w:rsid w:val="006C1F58"/>
    <w:pPr>
      <w:numPr>
        <w:ilvl w:val="1"/>
      </w:numPr>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rsid w:val="006C1F58"/>
    <w:rPr>
      <w:rFonts w:asciiTheme="majorHAnsi" w:eastAsiaTheme="majorEastAsia" w:hAnsiTheme="majorHAnsi" w:cstheme="majorBidi"/>
      <w:i/>
      <w:iCs/>
      <w:color w:val="4F81BD" w:themeColor="accent1"/>
      <w:spacing w:val="15"/>
      <w:sz w:val="24"/>
      <w:szCs w:val="24"/>
      <w:lang w:val="es-ES" w:eastAsia="es-ES"/>
    </w:rPr>
  </w:style>
  <w:style w:type="character" w:customStyle="1" w:styleId="TextonotapieCar">
    <w:name w:val="Texto nota pie Car"/>
    <w:basedOn w:val="Fuentedeprrafopredeter"/>
    <w:link w:val="Textonotapie"/>
    <w:semiHidden/>
    <w:rsid w:val="00480BFC"/>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9795">
      <w:bodyDiv w:val="1"/>
      <w:marLeft w:val="0"/>
      <w:marRight w:val="0"/>
      <w:marTop w:val="0"/>
      <w:marBottom w:val="0"/>
      <w:divBdr>
        <w:top w:val="none" w:sz="0" w:space="0" w:color="auto"/>
        <w:left w:val="none" w:sz="0" w:space="0" w:color="auto"/>
        <w:bottom w:val="none" w:sz="0" w:space="0" w:color="auto"/>
        <w:right w:val="none" w:sz="0" w:space="0" w:color="auto"/>
      </w:divBdr>
    </w:div>
    <w:div w:id="76097319">
      <w:bodyDiv w:val="1"/>
      <w:marLeft w:val="0"/>
      <w:marRight w:val="0"/>
      <w:marTop w:val="0"/>
      <w:marBottom w:val="0"/>
      <w:divBdr>
        <w:top w:val="none" w:sz="0" w:space="0" w:color="auto"/>
        <w:left w:val="none" w:sz="0" w:space="0" w:color="auto"/>
        <w:bottom w:val="none" w:sz="0" w:space="0" w:color="auto"/>
        <w:right w:val="none" w:sz="0" w:space="0" w:color="auto"/>
      </w:divBdr>
    </w:div>
    <w:div w:id="82577557">
      <w:bodyDiv w:val="1"/>
      <w:marLeft w:val="0"/>
      <w:marRight w:val="0"/>
      <w:marTop w:val="0"/>
      <w:marBottom w:val="0"/>
      <w:divBdr>
        <w:top w:val="none" w:sz="0" w:space="0" w:color="auto"/>
        <w:left w:val="none" w:sz="0" w:space="0" w:color="auto"/>
        <w:bottom w:val="none" w:sz="0" w:space="0" w:color="auto"/>
        <w:right w:val="none" w:sz="0" w:space="0" w:color="auto"/>
      </w:divBdr>
    </w:div>
    <w:div w:id="94446326">
      <w:bodyDiv w:val="1"/>
      <w:marLeft w:val="0"/>
      <w:marRight w:val="0"/>
      <w:marTop w:val="0"/>
      <w:marBottom w:val="0"/>
      <w:divBdr>
        <w:top w:val="none" w:sz="0" w:space="0" w:color="auto"/>
        <w:left w:val="none" w:sz="0" w:space="0" w:color="auto"/>
        <w:bottom w:val="none" w:sz="0" w:space="0" w:color="auto"/>
        <w:right w:val="none" w:sz="0" w:space="0" w:color="auto"/>
      </w:divBdr>
    </w:div>
    <w:div w:id="94642177">
      <w:bodyDiv w:val="1"/>
      <w:marLeft w:val="0"/>
      <w:marRight w:val="0"/>
      <w:marTop w:val="0"/>
      <w:marBottom w:val="0"/>
      <w:divBdr>
        <w:top w:val="none" w:sz="0" w:space="0" w:color="auto"/>
        <w:left w:val="none" w:sz="0" w:space="0" w:color="auto"/>
        <w:bottom w:val="none" w:sz="0" w:space="0" w:color="auto"/>
        <w:right w:val="none" w:sz="0" w:space="0" w:color="auto"/>
      </w:divBdr>
    </w:div>
    <w:div w:id="165444118">
      <w:bodyDiv w:val="1"/>
      <w:marLeft w:val="0"/>
      <w:marRight w:val="0"/>
      <w:marTop w:val="0"/>
      <w:marBottom w:val="0"/>
      <w:divBdr>
        <w:top w:val="none" w:sz="0" w:space="0" w:color="auto"/>
        <w:left w:val="none" w:sz="0" w:space="0" w:color="auto"/>
        <w:bottom w:val="none" w:sz="0" w:space="0" w:color="auto"/>
        <w:right w:val="none" w:sz="0" w:space="0" w:color="auto"/>
      </w:divBdr>
    </w:div>
    <w:div w:id="169831660">
      <w:bodyDiv w:val="1"/>
      <w:marLeft w:val="0"/>
      <w:marRight w:val="0"/>
      <w:marTop w:val="0"/>
      <w:marBottom w:val="0"/>
      <w:divBdr>
        <w:top w:val="none" w:sz="0" w:space="0" w:color="auto"/>
        <w:left w:val="none" w:sz="0" w:space="0" w:color="auto"/>
        <w:bottom w:val="none" w:sz="0" w:space="0" w:color="auto"/>
        <w:right w:val="none" w:sz="0" w:space="0" w:color="auto"/>
      </w:divBdr>
    </w:div>
    <w:div w:id="200823768">
      <w:bodyDiv w:val="1"/>
      <w:marLeft w:val="0"/>
      <w:marRight w:val="0"/>
      <w:marTop w:val="0"/>
      <w:marBottom w:val="0"/>
      <w:divBdr>
        <w:top w:val="none" w:sz="0" w:space="0" w:color="auto"/>
        <w:left w:val="none" w:sz="0" w:space="0" w:color="auto"/>
        <w:bottom w:val="none" w:sz="0" w:space="0" w:color="auto"/>
        <w:right w:val="none" w:sz="0" w:space="0" w:color="auto"/>
      </w:divBdr>
    </w:div>
    <w:div w:id="212892766">
      <w:bodyDiv w:val="1"/>
      <w:marLeft w:val="0"/>
      <w:marRight w:val="0"/>
      <w:marTop w:val="0"/>
      <w:marBottom w:val="0"/>
      <w:divBdr>
        <w:top w:val="none" w:sz="0" w:space="0" w:color="auto"/>
        <w:left w:val="none" w:sz="0" w:space="0" w:color="auto"/>
        <w:bottom w:val="none" w:sz="0" w:space="0" w:color="auto"/>
        <w:right w:val="none" w:sz="0" w:space="0" w:color="auto"/>
      </w:divBdr>
    </w:div>
    <w:div w:id="232589705">
      <w:bodyDiv w:val="1"/>
      <w:marLeft w:val="0"/>
      <w:marRight w:val="0"/>
      <w:marTop w:val="0"/>
      <w:marBottom w:val="0"/>
      <w:divBdr>
        <w:top w:val="none" w:sz="0" w:space="0" w:color="auto"/>
        <w:left w:val="none" w:sz="0" w:space="0" w:color="auto"/>
        <w:bottom w:val="none" w:sz="0" w:space="0" w:color="auto"/>
        <w:right w:val="none" w:sz="0" w:space="0" w:color="auto"/>
      </w:divBdr>
    </w:div>
    <w:div w:id="243228583">
      <w:bodyDiv w:val="1"/>
      <w:marLeft w:val="0"/>
      <w:marRight w:val="0"/>
      <w:marTop w:val="0"/>
      <w:marBottom w:val="0"/>
      <w:divBdr>
        <w:top w:val="none" w:sz="0" w:space="0" w:color="auto"/>
        <w:left w:val="none" w:sz="0" w:space="0" w:color="auto"/>
        <w:bottom w:val="none" w:sz="0" w:space="0" w:color="auto"/>
        <w:right w:val="none" w:sz="0" w:space="0" w:color="auto"/>
      </w:divBdr>
    </w:div>
    <w:div w:id="247813035">
      <w:bodyDiv w:val="1"/>
      <w:marLeft w:val="0"/>
      <w:marRight w:val="0"/>
      <w:marTop w:val="0"/>
      <w:marBottom w:val="0"/>
      <w:divBdr>
        <w:top w:val="none" w:sz="0" w:space="0" w:color="auto"/>
        <w:left w:val="none" w:sz="0" w:space="0" w:color="auto"/>
        <w:bottom w:val="none" w:sz="0" w:space="0" w:color="auto"/>
        <w:right w:val="none" w:sz="0" w:space="0" w:color="auto"/>
      </w:divBdr>
    </w:div>
    <w:div w:id="258952747">
      <w:bodyDiv w:val="1"/>
      <w:marLeft w:val="0"/>
      <w:marRight w:val="0"/>
      <w:marTop w:val="0"/>
      <w:marBottom w:val="0"/>
      <w:divBdr>
        <w:top w:val="none" w:sz="0" w:space="0" w:color="auto"/>
        <w:left w:val="none" w:sz="0" w:space="0" w:color="auto"/>
        <w:bottom w:val="none" w:sz="0" w:space="0" w:color="auto"/>
        <w:right w:val="none" w:sz="0" w:space="0" w:color="auto"/>
      </w:divBdr>
    </w:div>
    <w:div w:id="269170916">
      <w:bodyDiv w:val="1"/>
      <w:marLeft w:val="0"/>
      <w:marRight w:val="0"/>
      <w:marTop w:val="0"/>
      <w:marBottom w:val="0"/>
      <w:divBdr>
        <w:top w:val="none" w:sz="0" w:space="0" w:color="auto"/>
        <w:left w:val="none" w:sz="0" w:space="0" w:color="auto"/>
        <w:bottom w:val="none" w:sz="0" w:space="0" w:color="auto"/>
        <w:right w:val="none" w:sz="0" w:space="0" w:color="auto"/>
      </w:divBdr>
    </w:div>
    <w:div w:id="301496761">
      <w:bodyDiv w:val="1"/>
      <w:marLeft w:val="0"/>
      <w:marRight w:val="0"/>
      <w:marTop w:val="0"/>
      <w:marBottom w:val="0"/>
      <w:divBdr>
        <w:top w:val="none" w:sz="0" w:space="0" w:color="auto"/>
        <w:left w:val="none" w:sz="0" w:space="0" w:color="auto"/>
        <w:bottom w:val="none" w:sz="0" w:space="0" w:color="auto"/>
        <w:right w:val="none" w:sz="0" w:space="0" w:color="auto"/>
      </w:divBdr>
    </w:div>
    <w:div w:id="306710866">
      <w:bodyDiv w:val="1"/>
      <w:marLeft w:val="0"/>
      <w:marRight w:val="0"/>
      <w:marTop w:val="0"/>
      <w:marBottom w:val="0"/>
      <w:divBdr>
        <w:top w:val="none" w:sz="0" w:space="0" w:color="auto"/>
        <w:left w:val="none" w:sz="0" w:space="0" w:color="auto"/>
        <w:bottom w:val="none" w:sz="0" w:space="0" w:color="auto"/>
        <w:right w:val="none" w:sz="0" w:space="0" w:color="auto"/>
      </w:divBdr>
    </w:div>
    <w:div w:id="316424386">
      <w:bodyDiv w:val="1"/>
      <w:marLeft w:val="0"/>
      <w:marRight w:val="0"/>
      <w:marTop w:val="0"/>
      <w:marBottom w:val="0"/>
      <w:divBdr>
        <w:top w:val="none" w:sz="0" w:space="0" w:color="auto"/>
        <w:left w:val="none" w:sz="0" w:space="0" w:color="auto"/>
        <w:bottom w:val="none" w:sz="0" w:space="0" w:color="auto"/>
        <w:right w:val="none" w:sz="0" w:space="0" w:color="auto"/>
      </w:divBdr>
    </w:div>
    <w:div w:id="332950492">
      <w:bodyDiv w:val="1"/>
      <w:marLeft w:val="0"/>
      <w:marRight w:val="0"/>
      <w:marTop w:val="0"/>
      <w:marBottom w:val="0"/>
      <w:divBdr>
        <w:top w:val="none" w:sz="0" w:space="0" w:color="auto"/>
        <w:left w:val="none" w:sz="0" w:space="0" w:color="auto"/>
        <w:bottom w:val="none" w:sz="0" w:space="0" w:color="auto"/>
        <w:right w:val="none" w:sz="0" w:space="0" w:color="auto"/>
      </w:divBdr>
    </w:div>
    <w:div w:id="333996573">
      <w:bodyDiv w:val="1"/>
      <w:marLeft w:val="0"/>
      <w:marRight w:val="0"/>
      <w:marTop w:val="0"/>
      <w:marBottom w:val="0"/>
      <w:divBdr>
        <w:top w:val="none" w:sz="0" w:space="0" w:color="auto"/>
        <w:left w:val="none" w:sz="0" w:space="0" w:color="auto"/>
        <w:bottom w:val="none" w:sz="0" w:space="0" w:color="auto"/>
        <w:right w:val="none" w:sz="0" w:space="0" w:color="auto"/>
      </w:divBdr>
    </w:div>
    <w:div w:id="387531107">
      <w:bodyDiv w:val="1"/>
      <w:marLeft w:val="0"/>
      <w:marRight w:val="0"/>
      <w:marTop w:val="0"/>
      <w:marBottom w:val="0"/>
      <w:divBdr>
        <w:top w:val="none" w:sz="0" w:space="0" w:color="auto"/>
        <w:left w:val="none" w:sz="0" w:space="0" w:color="auto"/>
        <w:bottom w:val="none" w:sz="0" w:space="0" w:color="auto"/>
        <w:right w:val="none" w:sz="0" w:space="0" w:color="auto"/>
      </w:divBdr>
    </w:div>
    <w:div w:id="397092504">
      <w:bodyDiv w:val="1"/>
      <w:marLeft w:val="0"/>
      <w:marRight w:val="0"/>
      <w:marTop w:val="0"/>
      <w:marBottom w:val="0"/>
      <w:divBdr>
        <w:top w:val="none" w:sz="0" w:space="0" w:color="auto"/>
        <w:left w:val="none" w:sz="0" w:space="0" w:color="auto"/>
        <w:bottom w:val="none" w:sz="0" w:space="0" w:color="auto"/>
        <w:right w:val="none" w:sz="0" w:space="0" w:color="auto"/>
      </w:divBdr>
    </w:div>
    <w:div w:id="408696607">
      <w:bodyDiv w:val="1"/>
      <w:marLeft w:val="0"/>
      <w:marRight w:val="0"/>
      <w:marTop w:val="0"/>
      <w:marBottom w:val="0"/>
      <w:divBdr>
        <w:top w:val="none" w:sz="0" w:space="0" w:color="auto"/>
        <w:left w:val="none" w:sz="0" w:space="0" w:color="auto"/>
        <w:bottom w:val="none" w:sz="0" w:space="0" w:color="auto"/>
        <w:right w:val="none" w:sz="0" w:space="0" w:color="auto"/>
      </w:divBdr>
    </w:div>
    <w:div w:id="410662174">
      <w:bodyDiv w:val="1"/>
      <w:marLeft w:val="0"/>
      <w:marRight w:val="0"/>
      <w:marTop w:val="0"/>
      <w:marBottom w:val="0"/>
      <w:divBdr>
        <w:top w:val="none" w:sz="0" w:space="0" w:color="auto"/>
        <w:left w:val="none" w:sz="0" w:space="0" w:color="auto"/>
        <w:bottom w:val="none" w:sz="0" w:space="0" w:color="auto"/>
        <w:right w:val="none" w:sz="0" w:space="0" w:color="auto"/>
      </w:divBdr>
    </w:div>
    <w:div w:id="426317897">
      <w:bodyDiv w:val="1"/>
      <w:marLeft w:val="0"/>
      <w:marRight w:val="0"/>
      <w:marTop w:val="0"/>
      <w:marBottom w:val="0"/>
      <w:divBdr>
        <w:top w:val="none" w:sz="0" w:space="0" w:color="auto"/>
        <w:left w:val="none" w:sz="0" w:space="0" w:color="auto"/>
        <w:bottom w:val="none" w:sz="0" w:space="0" w:color="auto"/>
        <w:right w:val="none" w:sz="0" w:space="0" w:color="auto"/>
      </w:divBdr>
    </w:div>
    <w:div w:id="452596785">
      <w:bodyDiv w:val="1"/>
      <w:marLeft w:val="0"/>
      <w:marRight w:val="0"/>
      <w:marTop w:val="0"/>
      <w:marBottom w:val="0"/>
      <w:divBdr>
        <w:top w:val="none" w:sz="0" w:space="0" w:color="auto"/>
        <w:left w:val="none" w:sz="0" w:space="0" w:color="auto"/>
        <w:bottom w:val="none" w:sz="0" w:space="0" w:color="auto"/>
        <w:right w:val="none" w:sz="0" w:space="0" w:color="auto"/>
      </w:divBdr>
    </w:div>
    <w:div w:id="539393085">
      <w:bodyDiv w:val="1"/>
      <w:marLeft w:val="0"/>
      <w:marRight w:val="0"/>
      <w:marTop w:val="0"/>
      <w:marBottom w:val="0"/>
      <w:divBdr>
        <w:top w:val="none" w:sz="0" w:space="0" w:color="auto"/>
        <w:left w:val="none" w:sz="0" w:space="0" w:color="auto"/>
        <w:bottom w:val="none" w:sz="0" w:space="0" w:color="auto"/>
        <w:right w:val="none" w:sz="0" w:space="0" w:color="auto"/>
      </w:divBdr>
    </w:div>
    <w:div w:id="566258560">
      <w:bodyDiv w:val="1"/>
      <w:marLeft w:val="0"/>
      <w:marRight w:val="0"/>
      <w:marTop w:val="0"/>
      <w:marBottom w:val="0"/>
      <w:divBdr>
        <w:top w:val="none" w:sz="0" w:space="0" w:color="auto"/>
        <w:left w:val="none" w:sz="0" w:space="0" w:color="auto"/>
        <w:bottom w:val="none" w:sz="0" w:space="0" w:color="auto"/>
        <w:right w:val="none" w:sz="0" w:space="0" w:color="auto"/>
      </w:divBdr>
    </w:div>
    <w:div w:id="604506732">
      <w:bodyDiv w:val="1"/>
      <w:marLeft w:val="0"/>
      <w:marRight w:val="0"/>
      <w:marTop w:val="0"/>
      <w:marBottom w:val="0"/>
      <w:divBdr>
        <w:top w:val="none" w:sz="0" w:space="0" w:color="auto"/>
        <w:left w:val="none" w:sz="0" w:space="0" w:color="auto"/>
        <w:bottom w:val="none" w:sz="0" w:space="0" w:color="auto"/>
        <w:right w:val="none" w:sz="0" w:space="0" w:color="auto"/>
      </w:divBdr>
    </w:div>
    <w:div w:id="670528771">
      <w:bodyDiv w:val="1"/>
      <w:marLeft w:val="0"/>
      <w:marRight w:val="0"/>
      <w:marTop w:val="0"/>
      <w:marBottom w:val="0"/>
      <w:divBdr>
        <w:top w:val="none" w:sz="0" w:space="0" w:color="auto"/>
        <w:left w:val="none" w:sz="0" w:space="0" w:color="auto"/>
        <w:bottom w:val="none" w:sz="0" w:space="0" w:color="auto"/>
        <w:right w:val="none" w:sz="0" w:space="0" w:color="auto"/>
      </w:divBdr>
    </w:div>
    <w:div w:id="681709188">
      <w:bodyDiv w:val="1"/>
      <w:marLeft w:val="0"/>
      <w:marRight w:val="0"/>
      <w:marTop w:val="0"/>
      <w:marBottom w:val="0"/>
      <w:divBdr>
        <w:top w:val="none" w:sz="0" w:space="0" w:color="auto"/>
        <w:left w:val="none" w:sz="0" w:space="0" w:color="auto"/>
        <w:bottom w:val="none" w:sz="0" w:space="0" w:color="auto"/>
        <w:right w:val="none" w:sz="0" w:space="0" w:color="auto"/>
      </w:divBdr>
    </w:div>
    <w:div w:id="736630481">
      <w:bodyDiv w:val="1"/>
      <w:marLeft w:val="0"/>
      <w:marRight w:val="0"/>
      <w:marTop w:val="0"/>
      <w:marBottom w:val="0"/>
      <w:divBdr>
        <w:top w:val="none" w:sz="0" w:space="0" w:color="auto"/>
        <w:left w:val="none" w:sz="0" w:space="0" w:color="auto"/>
        <w:bottom w:val="none" w:sz="0" w:space="0" w:color="auto"/>
        <w:right w:val="none" w:sz="0" w:space="0" w:color="auto"/>
      </w:divBdr>
    </w:div>
    <w:div w:id="751514514">
      <w:bodyDiv w:val="1"/>
      <w:marLeft w:val="0"/>
      <w:marRight w:val="0"/>
      <w:marTop w:val="0"/>
      <w:marBottom w:val="0"/>
      <w:divBdr>
        <w:top w:val="none" w:sz="0" w:space="0" w:color="auto"/>
        <w:left w:val="none" w:sz="0" w:space="0" w:color="auto"/>
        <w:bottom w:val="none" w:sz="0" w:space="0" w:color="auto"/>
        <w:right w:val="none" w:sz="0" w:space="0" w:color="auto"/>
      </w:divBdr>
    </w:div>
    <w:div w:id="755135442">
      <w:bodyDiv w:val="1"/>
      <w:marLeft w:val="0"/>
      <w:marRight w:val="0"/>
      <w:marTop w:val="0"/>
      <w:marBottom w:val="0"/>
      <w:divBdr>
        <w:top w:val="none" w:sz="0" w:space="0" w:color="auto"/>
        <w:left w:val="none" w:sz="0" w:space="0" w:color="auto"/>
        <w:bottom w:val="none" w:sz="0" w:space="0" w:color="auto"/>
        <w:right w:val="none" w:sz="0" w:space="0" w:color="auto"/>
      </w:divBdr>
    </w:div>
    <w:div w:id="793716018">
      <w:bodyDiv w:val="1"/>
      <w:marLeft w:val="0"/>
      <w:marRight w:val="0"/>
      <w:marTop w:val="0"/>
      <w:marBottom w:val="0"/>
      <w:divBdr>
        <w:top w:val="none" w:sz="0" w:space="0" w:color="auto"/>
        <w:left w:val="none" w:sz="0" w:space="0" w:color="auto"/>
        <w:bottom w:val="none" w:sz="0" w:space="0" w:color="auto"/>
        <w:right w:val="none" w:sz="0" w:space="0" w:color="auto"/>
      </w:divBdr>
    </w:div>
    <w:div w:id="804196087">
      <w:bodyDiv w:val="1"/>
      <w:marLeft w:val="0"/>
      <w:marRight w:val="0"/>
      <w:marTop w:val="0"/>
      <w:marBottom w:val="0"/>
      <w:divBdr>
        <w:top w:val="none" w:sz="0" w:space="0" w:color="auto"/>
        <w:left w:val="none" w:sz="0" w:space="0" w:color="auto"/>
        <w:bottom w:val="none" w:sz="0" w:space="0" w:color="auto"/>
        <w:right w:val="none" w:sz="0" w:space="0" w:color="auto"/>
      </w:divBdr>
    </w:div>
    <w:div w:id="829826896">
      <w:bodyDiv w:val="1"/>
      <w:marLeft w:val="0"/>
      <w:marRight w:val="0"/>
      <w:marTop w:val="0"/>
      <w:marBottom w:val="0"/>
      <w:divBdr>
        <w:top w:val="none" w:sz="0" w:space="0" w:color="auto"/>
        <w:left w:val="none" w:sz="0" w:space="0" w:color="auto"/>
        <w:bottom w:val="none" w:sz="0" w:space="0" w:color="auto"/>
        <w:right w:val="none" w:sz="0" w:space="0" w:color="auto"/>
      </w:divBdr>
    </w:div>
    <w:div w:id="845439623">
      <w:bodyDiv w:val="1"/>
      <w:marLeft w:val="0"/>
      <w:marRight w:val="0"/>
      <w:marTop w:val="0"/>
      <w:marBottom w:val="0"/>
      <w:divBdr>
        <w:top w:val="none" w:sz="0" w:space="0" w:color="auto"/>
        <w:left w:val="none" w:sz="0" w:space="0" w:color="auto"/>
        <w:bottom w:val="none" w:sz="0" w:space="0" w:color="auto"/>
        <w:right w:val="none" w:sz="0" w:space="0" w:color="auto"/>
      </w:divBdr>
    </w:div>
    <w:div w:id="868564143">
      <w:bodyDiv w:val="1"/>
      <w:marLeft w:val="0"/>
      <w:marRight w:val="0"/>
      <w:marTop w:val="0"/>
      <w:marBottom w:val="0"/>
      <w:divBdr>
        <w:top w:val="none" w:sz="0" w:space="0" w:color="auto"/>
        <w:left w:val="none" w:sz="0" w:space="0" w:color="auto"/>
        <w:bottom w:val="none" w:sz="0" w:space="0" w:color="auto"/>
        <w:right w:val="none" w:sz="0" w:space="0" w:color="auto"/>
      </w:divBdr>
    </w:div>
    <w:div w:id="904485996">
      <w:bodyDiv w:val="1"/>
      <w:marLeft w:val="0"/>
      <w:marRight w:val="0"/>
      <w:marTop w:val="0"/>
      <w:marBottom w:val="0"/>
      <w:divBdr>
        <w:top w:val="none" w:sz="0" w:space="0" w:color="auto"/>
        <w:left w:val="none" w:sz="0" w:space="0" w:color="auto"/>
        <w:bottom w:val="none" w:sz="0" w:space="0" w:color="auto"/>
        <w:right w:val="none" w:sz="0" w:space="0" w:color="auto"/>
      </w:divBdr>
    </w:div>
    <w:div w:id="948316777">
      <w:bodyDiv w:val="1"/>
      <w:marLeft w:val="0"/>
      <w:marRight w:val="0"/>
      <w:marTop w:val="0"/>
      <w:marBottom w:val="0"/>
      <w:divBdr>
        <w:top w:val="none" w:sz="0" w:space="0" w:color="auto"/>
        <w:left w:val="none" w:sz="0" w:space="0" w:color="auto"/>
        <w:bottom w:val="none" w:sz="0" w:space="0" w:color="auto"/>
        <w:right w:val="none" w:sz="0" w:space="0" w:color="auto"/>
      </w:divBdr>
    </w:div>
    <w:div w:id="967585929">
      <w:bodyDiv w:val="1"/>
      <w:marLeft w:val="0"/>
      <w:marRight w:val="0"/>
      <w:marTop w:val="0"/>
      <w:marBottom w:val="0"/>
      <w:divBdr>
        <w:top w:val="none" w:sz="0" w:space="0" w:color="auto"/>
        <w:left w:val="none" w:sz="0" w:space="0" w:color="auto"/>
        <w:bottom w:val="none" w:sz="0" w:space="0" w:color="auto"/>
        <w:right w:val="none" w:sz="0" w:space="0" w:color="auto"/>
      </w:divBdr>
    </w:div>
    <w:div w:id="1092705498">
      <w:bodyDiv w:val="1"/>
      <w:marLeft w:val="0"/>
      <w:marRight w:val="0"/>
      <w:marTop w:val="0"/>
      <w:marBottom w:val="0"/>
      <w:divBdr>
        <w:top w:val="none" w:sz="0" w:space="0" w:color="auto"/>
        <w:left w:val="none" w:sz="0" w:space="0" w:color="auto"/>
        <w:bottom w:val="none" w:sz="0" w:space="0" w:color="auto"/>
        <w:right w:val="none" w:sz="0" w:space="0" w:color="auto"/>
      </w:divBdr>
    </w:div>
    <w:div w:id="1097403629">
      <w:bodyDiv w:val="1"/>
      <w:marLeft w:val="0"/>
      <w:marRight w:val="0"/>
      <w:marTop w:val="0"/>
      <w:marBottom w:val="0"/>
      <w:divBdr>
        <w:top w:val="none" w:sz="0" w:space="0" w:color="auto"/>
        <w:left w:val="none" w:sz="0" w:space="0" w:color="auto"/>
        <w:bottom w:val="none" w:sz="0" w:space="0" w:color="auto"/>
        <w:right w:val="none" w:sz="0" w:space="0" w:color="auto"/>
      </w:divBdr>
    </w:div>
    <w:div w:id="1306861717">
      <w:bodyDiv w:val="1"/>
      <w:marLeft w:val="0"/>
      <w:marRight w:val="0"/>
      <w:marTop w:val="0"/>
      <w:marBottom w:val="0"/>
      <w:divBdr>
        <w:top w:val="none" w:sz="0" w:space="0" w:color="auto"/>
        <w:left w:val="none" w:sz="0" w:space="0" w:color="auto"/>
        <w:bottom w:val="none" w:sz="0" w:space="0" w:color="auto"/>
        <w:right w:val="none" w:sz="0" w:space="0" w:color="auto"/>
      </w:divBdr>
    </w:div>
    <w:div w:id="1359231809">
      <w:bodyDiv w:val="1"/>
      <w:marLeft w:val="0"/>
      <w:marRight w:val="0"/>
      <w:marTop w:val="0"/>
      <w:marBottom w:val="0"/>
      <w:divBdr>
        <w:top w:val="none" w:sz="0" w:space="0" w:color="auto"/>
        <w:left w:val="none" w:sz="0" w:space="0" w:color="auto"/>
        <w:bottom w:val="none" w:sz="0" w:space="0" w:color="auto"/>
        <w:right w:val="none" w:sz="0" w:space="0" w:color="auto"/>
      </w:divBdr>
    </w:div>
    <w:div w:id="1377312348">
      <w:bodyDiv w:val="1"/>
      <w:marLeft w:val="0"/>
      <w:marRight w:val="0"/>
      <w:marTop w:val="0"/>
      <w:marBottom w:val="0"/>
      <w:divBdr>
        <w:top w:val="none" w:sz="0" w:space="0" w:color="auto"/>
        <w:left w:val="none" w:sz="0" w:space="0" w:color="auto"/>
        <w:bottom w:val="none" w:sz="0" w:space="0" w:color="auto"/>
        <w:right w:val="none" w:sz="0" w:space="0" w:color="auto"/>
      </w:divBdr>
    </w:div>
    <w:div w:id="1415279647">
      <w:bodyDiv w:val="1"/>
      <w:marLeft w:val="0"/>
      <w:marRight w:val="0"/>
      <w:marTop w:val="0"/>
      <w:marBottom w:val="0"/>
      <w:divBdr>
        <w:top w:val="none" w:sz="0" w:space="0" w:color="auto"/>
        <w:left w:val="none" w:sz="0" w:space="0" w:color="auto"/>
        <w:bottom w:val="none" w:sz="0" w:space="0" w:color="auto"/>
        <w:right w:val="none" w:sz="0" w:space="0" w:color="auto"/>
      </w:divBdr>
    </w:div>
    <w:div w:id="1425345710">
      <w:bodyDiv w:val="1"/>
      <w:marLeft w:val="0"/>
      <w:marRight w:val="0"/>
      <w:marTop w:val="0"/>
      <w:marBottom w:val="0"/>
      <w:divBdr>
        <w:top w:val="none" w:sz="0" w:space="0" w:color="auto"/>
        <w:left w:val="none" w:sz="0" w:space="0" w:color="auto"/>
        <w:bottom w:val="none" w:sz="0" w:space="0" w:color="auto"/>
        <w:right w:val="none" w:sz="0" w:space="0" w:color="auto"/>
      </w:divBdr>
    </w:div>
    <w:div w:id="1505628193">
      <w:bodyDiv w:val="1"/>
      <w:marLeft w:val="0"/>
      <w:marRight w:val="0"/>
      <w:marTop w:val="0"/>
      <w:marBottom w:val="0"/>
      <w:divBdr>
        <w:top w:val="none" w:sz="0" w:space="0" w:color="auto"/>
        <w:left w:val="none" w:sz="0" w:space="0" w:color="auto"/>
        <w:bottom w:val="none" w:sz="0" w:space="0" w:color="auto"/>
        <w:right w:val="none" w:sz="0" w:space="0" w:color="auto"/>
      </w:divBdr>
    </w:div>
    <w:div w:id="1513836291">
      <w:bodyDiv w:val="1"/>
      <w:marLeft w:val="0"/>
      <w:marRight w:val="0"/>
      <w:marTop w:val="0"/>
      <w:marBottom w:val="0"/>
      <w:divBdr>
        <w:top w:val="none" w:sz="0" w:space="0" w:color="auto"/>
        <w:left w:val="none" w:sz="0" w:space="0" w:color="auto"/>
        <w:bottom w:val="none" w:sz="0" w:space="0" w:color="auto"/>
        <w:right w:val="none" w:sz="0" w:space="0" w:color="auto"/>
      </w:divBdr>
    </w:div>
    <w:div w:id="1514539434">
      <w:bodyDiv w:val="1"/>
      <w:marLeft w:val="0"/>
      <w:marRight w:val="0"/>
      <w:marTop w:val="0"/>
      <w:marBottom w:val="0"/>
      <w:divBdr>
        <w:top w:val="none" w:sz="0" w:space="0" w:color="auto"/>
        <w:left w:val="none" w:sz="0" w:space="0" w:color="auto"/>
        <w:bottom w:val="none" w:sz="0" w:space="0" w:color="auto"/>
        <w:right w:val="none" w:sz="0" w:space="0" w:color="auto"/>
      </w:divBdr>
    </w:div>
    <w:div w:id="1545219404">
      <w:bodyDiv w:val="1"/>
      <w:marLeft w:val="0"/>
      <w:marRight w:val="0"/>
      <w:marTop w:val="0"/>
      <w:marBottom w:val="0"/>
      <w:divBdr>
        <w:top w:val="none" w:sz="0" w:space="0" w:color="auto"/>
        <w:left w:val="none" w:sz="0" w:space="0" w:color="auto"/>
        <w:bottom w:val="none" w:sz="0" w:space="0" w:color="auto"/>
        <w:right w:val="none" w:sz="0" w:space="0" w:color="auto"/>
      </w:divBdr>
    </w:div>
    <w:div w:id="1565531484">
      <w:bodyDiv w:val="1"/>
      <w:marLeft w:val="0"/>
      <w:marRight w:val="0"/>
      <w:marTop w:val="0"/>
      <w:marBottom w:val="0"/>
      <w:divBdr>
        <w:top w:val="none" w:sz="0" w:space="0" w:color="auto"/>
        <w:left w:val="none" w:sz="0" w:space="0" w:color="auto"/>
        <w:bottom w:val="none" w:sz="0" w:space="0" w:color="auto"/>
        <w:right w:val="none" w:sz="0" w:space="0" w:color="auto"/>
      </w:divBdr>
    </w:div>
    <w:div w:id="1570649665">
      <w:bodyDiv w:val="1"/>
      <w:marLeft w:val="0"/>
      <w:marRight w:val="0"/>
      <w:marTop w:val="0"/>
      <w:marBottom w:val="0"/>
      <w:divBdr>
        <w:top w:val="none" w:sz="0" w:space="0" w:color="auto"/>
        <w:left w:val="none" w:sz="0" w:space="0" w:color="auto"/>
        <w:bottom w:val="none" w:sz="0" w:space="0" w:color="auto"/>
        <w:right w:val="none" w:sz="0" w:space="0" w:color="auto"/>
      </w:divBdr>
    </w:div>
    <w:div w:id="1683971082">
      <w:bodyDiv w:val="1"/>
      <w:marLeft w:val="0"/>
      <w:marRight w:val="0"/>
      <w:marTop w:val="0"/>
      <w:marBottom w:val="0"/>
      <w:divBdr>
        <w:top w:val="none" w:sz="0" w:space="0" w:color="auto"/>
        <w:left w:val="none" w:sz="0" w:space="0" w:color="auto"/>
        <w:bottom w:val="none" w:sz="0" w:space="0" w:color="auto"/>
        <w:right w:val="none" w:sz="0" w:space="0" w:color="auto"/>
      </w:divBdr>
    </w:div>
    <w:div w:id="1693534181">
      <w:bodyDiv w:val="1"/>
      <w:marLeft w:val="0"/>
      <w:marRight w:val="0"/>
      <w:marTop w:val="0"/>
      <w:marBottom w:val="0"/>
      <w:divBdr>
        <w:top w:val="none" w:sz="0" w:space="0" w:color="auto"/>
        <w:left w:val="none" w:sz="0" w:space="0" w:color="auto"/>
        <w:bottom w:val="none" w:sz="0" w:space="0" w:color="auto"/>
        <w:right w:val="none" w:sz="0" w:space="0" w:color="auto"/>
      </w:divBdr>
    </w:div>
    <w:div w:id="1839465910">
      <w:bodyDiv w:val="1"/>
      <w:marLeft w:val="0"/>
      <w:marRight w:val="0"/>
      <w:marTop w:val="0"/>
      <w:marBottom w:val="0"/>
      <w:divBdr>
        <w:top w:val="none" w:sz="0" w:space="0" w:color="auto"/>
        <w:left w:val="none" w:sz="0" w:space="0" w:color="auto"/>
        <w:bottom w:val="none" w:sz="0" w:space="0" w:color="auto"/>
        <w:right w:val="none" w:sz="0" w:space="0" w:color="auto"/>
      </w:divBdr>
    </w:div>
    <w:div w:id="1847355371">
      <w:bodyDiv w:val="1"/>
      <w:marLeft w:val="0"/>
      <w:marRight w:val="0"/>
      <w:marTop w:val="0"/>
      <w:marBottom w:val="0"/>
      <w:divBdr>
        <w:top w:val="none" w:sz="0" w:space="0" w:color="auto"/>
        <w:left w:val="none" w:sz="0" w:space="0" w:color="auto"/>
        <w:bottom w:val="none" w:sz="0" w:space="0" w:color="auto"/>
        <w:right w:val="none" w:sz="0" w:space="0" w:color="auto"/>
      </w:divBdr>
    </w:div>
    <w:div w:id="1852142906">
      <w:bodyDiv w:val="1"/>
      <w:marLeft w:val="0"/>
      <w:marRight w:val="0"/>
      <w:marTop w:val="0"/>
      <w:marBottom w:val="0"/>
      <w:divBdr>
        <w:top w:val="none" w:sz="0" w:space="0" w:color="auto"/>
        <w:left w:val="none" w:sz="0" w:space="0" w:color="auto"/>
        <w:bottom w:val="none" w:sz="0" w:space="0" w:color="auto"/>
        <w:right w:val="none" w:sz="0" w:space="0" w:color="auto"/>
      </w:divBdr>
    </w:div>
    <w:div w:id="1869685827">
      <w:bodyDiv w:val="1"/>
      <w:marLeft w:val="0"/>
      <w:marRight w:val="0"/>
      <w:marTop w:val="0"/>
      <w:marBottom w:val="0"/>
      <w:divBdr>
        <w:top w:val="none" w:sz="0" w:space="0" w:color="auto"/>
        <w:left w:val="none" w:sz="0" w:space="0" w:color="auto"/>
        <w:bottom w:val="none" w:sz="0" w:space="0" w:color="auto"/>
        <w:right w:val="none" w:sz="0" w:space="0" w:color="auto"/>
      </w:divBdr>
    </w:div>
    <w:div w:id="1883251992">
      <w:bodyDiv w:val="1"/>
      <w:marLeft w:val="0"/>
      <w:marRight w:val="0"/>
      <w:marTop w:val="0"/>
      <w:marBottom w:val="0"/>
      <w:divBdr>
        <w:top w:val="none" w:sz="0" w:space="0" w:color="auto"/>
        <w:left w:val="none" w:sz="0" w:space="0" w:color="auto"/>
        <w:bottom w:val="none" w:sz="0" w:space="0" w:color="auto"/>
        <w:right w:val="none" w:sz="0" w:space="0" w:color="auto"/>
      </w:divBdr>
    </w:div>
    <w:div w:id="1895308305">
      <w:bodyDiv w:val="1"/>
      <w:marLeft w:val="0"/>
      <w:marRight w:val="0"/>
      <w:marTop w:val="0"/>
      <w:marBottom w:val="0"/>
      <w:divBdr>
        <w:top w:val="none" w:sz="0" w:space="0" w:color="auto"/>
        <w:left w:val="none" w:sz="0" w:space="0" w:color="auto"/>
        <w:bottom w:val="none" w:sz="0" w:space="0" w:color="auto"/>
        <w:right w:val="none" w:sz="0" w:space="0" w:color="auto"/>
      </w:divBdr>
    </w:div>
    <w:div w:id="1908225100">
      <w:bodyDiv w:val="1"/>
      <w:marLeft w:val="0"/>
      <w:marRight w:val="0"/>
      <w:marTop w:val="0"/>
      <w:marBottom w:val="0"/>
      <w:divBdr>
        <w:top w:val="none" w:sz="0" w:space="0" w:color="auto"/>
        <w:left w:val="none" w:sz="0" w:space="0" w:color="auto"/>
        <w:bottom w:val="none" w:sz="0" w:space="0" w:color="auto"/>
        <w:right w:val="none" w:sz="0" w:space="0" w:color="auto"/>
      </w:divBdr>
    </w:div>
    <w:div w:id="1919091835">
      <w:bodyDiv w:val="1"/>
      <w:marLeft w:val="0"/>
      <w:marRight w:val="0"/>
      <w:marTop w:val="0"/>
      <w:marBottom w:val="0"/>
      <w:divBdr>
        <w:top w:val="none" w:sz="0" w:space="0" w:color="auto"/>
        <w:left w:val="none" w:sz="0" w:space="0" w:color="auto"/>
        <w:bottom w:val="none" w:sz="0" w:space="0" w:color="auto"/>
        <w:right w:val="none" w:sz="0" w:space="0" w:color="auto"/>
      </w:divBdr>
    </w:div>
    <w:div w:id="1922566277">
      <w:bodyDiv w:val="1"/>
      <w:marLeft w:val="0"/>
      <w:marRight w:val="0"/>
      <w:marTop w:val="0"/>
      <w:marBottom w:val="0"/>
      <w:divBdr>
        <w:top w:val="none" w:sz="0" w:space="0" w:color="auto"/>
        <w:left w:val="none" w:sz="0" w:space="0" w:color="auto"/>
        <w:bottom w:val="none" w:sz="0" w:space="0" w:color="auto"/>
        <w:right w:val="none" w:sz="0" w:space="0" w:color="auto"/>
      </w:divBdr>
    </w:div>
    <w:div w:id="1967008651">
      <w:bodyDiv w:val="1"/>
      <w:marLeft w:val="0"/>
      <w:marRight w:val="0"/>
      <w:marTop w:val="0"/>
      <w:marBottom w:val="0"/>
      <w:divBdr>
        <w:top w:val="none" w:sz="0" w:space="0" w:color="auto"/>
        <w:left w:val="none" w:sz="0" w:space="0" w:color="auto"/>
        <w:bottom w:val="none" w:sz="0" w:space="0" w:color="auto"/>
        <w:right w:val="none" w:sz="0" w:space="0" w:color="auto"/>
      </w:divBdr>
    </w:div>
    <w:div w:id="1996369494">
      <w:bodyDiv w:val="1"/>
      <w:marLeft w:val="0"/>
      <w:marRight w:val="0"/>
      <w:marTop w:val="0"/>
      <w:marBottom w:val="0"/>
      <w:divBdr>
        <w:top w:val="none" w:sz="0" w:space="0" w:color="auto"/>
        <w:left w:val="none" w:sz="0" w:space="0" w:color="auto"/>
        <w:bottom w:val="none" w:sz="0" w:space="0" w:color="auto"/>
        <w:right w:val="none" w:sz="0" w:space="0" w:color="auto"/>
      </w:divBdr>
    </w:div>
    <w:div w:id="2038773007">
      <w:bodyDiv w:val="1"/>
      <w:marLeft w:val="0"/>
      <w:marRight w:val="0"/>
      <w:marTop w:val="0"/>
      <w:marBottom w:val="0"/>
      <w:divBdr>
        <w:top w:val="none" w:sz="0" w:space="0" w:color="auto"/>
        <w:left w:val="none" w:sz="0" w:space="0" w:color="auto"/>
        <w:bottom w:val="none" w:sz="0" w:space="0" w:color="auto"/>
        <w:right w:val="none" w:sz="0" w:space="0" w:color="auto"/>
      </w:divBdr>
    </w:div>
    <w:div w:id="2057897409">
      <w:bodyDiv w:val="1"/>
      <w:marLeft w:val="0"/>
      <w:marRight w:val="0"/>
      <w:marTop w:val="0"/>
      <w:marBottom w:val="0"/>
      <w:divBdr>
        <w:top w:val="none" w:sz="0" w:space="0" w:color="auto"/>
        <w:left w:val="none" w:sz="0" w:space="0" w:color="auto"/>
        <w:bottom w:val="none" w:sz="0" w:space="0" w:color="auto"/>
        <w:right w:val="none" w:sz="0" w:space="0" w:color="auto"/>
      </w:divBdr>
    </w:div>
    <w:div w:id="2094931130">
      <w:bodyDiv w:val="1"/>
      <w:marLeft w:val="0"/>
      <w:marRight w:val="0"/>
      <w:marTop w:val="0"/>
      <w:marBottom w:val="0"/>
      <w:divBdr>
        <w:top w:val="none" w:sz="0" w:space="0" w:color="auto"/>
        <w:left w:val="none" w:sz="0" w:space="0" w:color="auto"/>
        <w:bottom w:val="none" w:sz="0" w:space="0" w:color="auto"/>
        <w:right w:val="none" w:sz="0" w:space="0" w:color="auto"/>
      </w:divBdr>
    </w:div>
    <w:div w:id="2097899433">
      <w:bodyDiv w:val="1"/>
      <w:marLeft w:val="0"/>
      <w:marRight w:val="0"/>
      <w:marTop w:val="0"/>
      <w:marBottom w:val="0"/>
      <w:divBdr>
        <w:top w:val="none" w:sz="0" w:space="0" w:color="auto"/>
        <w:left w:val="none" w:sz="0" w:space="0" w:color="auto"/>
        <w:bottom w:val="none" w:sz="0" w:space="0" w:color="auto"/>
        <w:right w:val="none" w:sz="0" w:space="0" w:color="auto"/>
      </w:divBdr>
    </w:div>
    <w:div w:id="2116293147">
      <w:bodyDiv w:val="1"/>
      <w:marLeft w:val="0"/>
      <w:marRight w:val="0"/>
      <w:marTop w:val="0"/>
      <w:marBottom w:val="0"/>
      <w:divBdr>
        <w:top w:val="none" w:sz="0" w:space="0" w:color="auto"/>
        <w:left w:val="none" w:sz="0" w:space="0" w:color="auto"/>
        <w:bottom w:val="none" w:sz="0" w:space="0" w:color="auto"/>
        <w:right w:val="none" w:sz="0" w:space="0" w:color="auto"/>
      </w:divBdr>
    </w:div>
    <w:div w:id="212796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2.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20262-30B9-4114-A946-946406D34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2222</TotalTime>
  <Pages>14</Pages>
  <Words>3395</Words>
  <Characters>18677</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MECON</Company>
  <LinksUpToDate>false</LinksUpToDate>
  <CharactersWithSpaces>22028</CharactersWithSpaces>
  <SharedDoc>false</SharedDoc>
  <HLinks>
    <vt:vector size="48" baseType="variant">
      <vt:variant>
        <vt:i4>1376309</vt:i4>
      </vt:variant>
      <vt:variant>
        <vt:i4>44</vt:i4>
      </vt:variant>
      <vt:variant>
        <vt:i4>0</vt:i4>
      </vt:variant>
      <vt:variant>
        <vt:i4>5</vt:i4>
      </vt:variant>
      <vt:variant>
        <vt:lpwstr/>
      </vt:variant>
      <vt:variant>
        <vt:lpwstr>_Toc356221246</vt:lpwstr>
      </vt:variant>
      <vt:variant>
        <vt:i4>1376309</vt:i4>
      </vt:variant>
      <vt:variant>
        <vt:i4>38</vt:i4>
      </vt:variant>
      <vt:variant>
        <vt:i4>0</vt:i4>
      </vt:variant>
      <vt:variant>
        <vt:i4>5</vt:i4>
      </vt:variant>
      <vt:variant>
        <vt:lpwstr/>
      </vt:variant>
      <vt:variant>
        <vt:lpwstr>_Toc356221245</vt:lpwstr>
      </vt:variant>
      <vt:variant>
        <vt:i4>1376309</vt:i4>
      </vt:variant>
      <vt:variant>
        <vt:i4>32</vt:i4>
      </vt:variant>
      <vt:variant>
        <vt:i4>0</vt:i4>
      </vt:variant>
      <vt:variant>
        <vt:i4>5</vt:i4>
      </vt:variant>
      <vt:variant>
        <vt:lpwstr/>
      </vt:variant>
      <vt:variant>
        <vt:lpwstr>_Toc356221244</vt:lpwstr>
      </vt:variant>
      <vt:variant>
        <vt:i4>1376309</vt:i4>
      </vt:variant>
      <vt:variant>
        <vt:i4>26</vt:i4>
      </vt:variant>
      <vt:variant>
        <vt:i4>0</vt:i4>
      </vt:variant>
      <vt:variant>
        <vt:i4>5</vt:i4>
      </vt:variant>
      <vt:variant>
        <vt:lpwstr/>
      </vt:variant>
      <vt:variant>
        <vt:lpwstr>_Toc356221243</vt:lpwstr>
      </vt:variant>
      <vt:variant>
        <vt:i4>1376309</vt:i4>
      </vt:variant>
      <vt:variant>
        <vt:i4>20</vt:i4>
      </vt:variant>
      <vt:variant>
        <vt:i4>0</vt:i4>
      </vt:variant>
      <vt:variant>
        <vt:i4>5</vt:i4>
      </vt:variant>
      <vt:variant>
        <vt:lpwstr/>
      </vt:variant>
      <vt:variant>
        <vt:lpwstr>_Toc356221242</vt:lpwstr>
      </vt:variant>
      <vt:variant>
        <vt:i4>1376309</vt:i4>
      </vt:variant>
      <vt:variant>
        <vt:i4>14</vt:i4>
      </vt:variant>
      <vt:variant>
        <vt:i4>0</vt:i4>
      </vt:variant>
      <vt:variant>
        <vt:i4>5</vt:i4>
      </vt:variant>
      <vt:variant>
        <vt:lpwstr/>
      </vt:variant>
      <vt:variant>
        <vt:lpwstr>_Toc356221241</vt:lpwstr>
      </vt:variant>
      <vt:variant>
        <vt:i4>1376309</vt:i4>
      </vt:variant>
      <vt:variant>
        <vt:i4>8</vt:i4>
      </vt:variant>
      <vt:variant>
        <vt:i4>0</vt:i4>
      </vt:variant>
      <vt:variant>
        <vt:i4>5</vt:i4>
      </vt:variant>
      <vt:variant>
        <vt:lpwstr/>
      </vt:variant>
      <vt:variant>
        <vt:lpwstr>_Toc356221240</vt:lpwstr>
      </vt:variant>
      <vt:variant>
        <vt:i4>1179701</vt:i4>
      </vt:variant>
      <vt:variant>
        <vt:i4>2</vt:i4>
      </vt:variant>
      <vt:variant>
        <vt:i4>0</vt:i4>
      </vt:variant>
      <vt:variant>
        <vt:i4>5</vt:i4>
      </vt:variant>
      <vt:variant>
        <vt:lpwstr/>
      </vt:variant>
      <vt:variant>
        <vt:lpwstr>_Toc356221239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creator>swarme</dc:creator>
  <cp:lastModifiedBy>ftomas</cp:lastModifiedBy>
  <cp:revision>53</cp:revision>
  <cp:lastPrinted>2019-10-04T13:39:00Z</cp:lastPrinted>
  <dcterms:created xsi:type="dcterms:W3CDTF">2019-10-04T14:13:00Z</dcterms:created>
  <dcterms:modified xsi:type="dcterms:W3CDTF">2023-03-07T23:49:00Z</dcterms:modified>
</cp:coreProperties>
</file>