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07C" w:rsidRDefault="009B4274" w:rsidP="005D77D1">
      <w:pPr>
        <w:pStyle w:val="Sinespaciado"/>
        <w:rPr>
          <w:rFonts w:ascii="Trebuchet MS" w:hAnsi="Trebuchet MS"/>
          <w:sz w:val="40"/>
          <w:szCs w:val="40"/>
          <w:u w:val="single"/>
        </w:rPr>
      </w:pPr>
      <w:r>
        <w:rPr>
          <w:noProof/>
        </w:rPr>
        <w:pict>
          <v:rect id="Rectángulo 6" o:spid="_x0000_s1026" style="position:absolute;margin-left:0;margin-top:35.9pt;width:467.75pt;height:286.5pt;z-index:-251659776;visibility:visible;mso-position-horizontal:center;mso-position-horizontal-relative:margin;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xswIAAGsFAAAOAAAAZHJzL2Uyb0RvYy54bWysVP9u0zAQ/h+Jd7D8f5ef7dpo6dS1G0Ia&#10;bNrgARzHacISO9hu04J4GJ6FF+N8ScMACSHEP5bPvjt/9913vrg8NDXZC20qJVManPmUCMlVXslt&#10;St+/u5nMKTGWyZzVSoqUHoWhl8uXLy66NhGhKlWdC00giTRJ16a0tLZNPM/wUjTMnKlWSLgslG6Y&#10;BVNvvVyzDrI3tRf6/szrlM5brbgwBk43/SVdYv6iENzeFYURltQpBWwWV41r5lZvecGSrWZtWfEB&#10;BvsHFA2rJDw6ptowy8hOV7+laiqulVGFPeOq8VRRVFxgDVBN4P9SzWPJWoG1ADmmHWky/y8tf7u/&#10;16TKUxrNQ0oka6BJD0Dbt69yu6sVmTmKutYk4PnY3mtXpGlvFX8yRKp1yeRWrLRWXSlYDsAC5+/9&#10;FOAMA6Ek696oHPKznVXI1qHQjUsIPJADNuU4NkUcLOFweB4FUbiYUsLhLppF8+kU2+ax5BTeamNf&#10;CdUQt0mpBviYnu1vjXVwWHJyQfiqrvKbqq7R0NtsXWuyZ6CQaHoerqZYAVT53A3QQC4X4HBhZz9P&#10;o1nsL8LZZLXanE/ieDOfXF3Bbr2+XsRRMIun1+svDkgQJ6ZkueruMsN3WuQnpQXx33Vy0HyvEdRa&#10;j7cnGzFhlSeUyL+jvG+dscdaOOy1fBAFdBu5xur5UH4/EjCzMCSnwQDaMMA5FkDXGBv4foQE45iK&#10;kb786QRocHeRAqdwjPWHwD+/Owbh20raMb5hH5QeNTZU5hRmD9lhkGqm8iPITat+3OF7gk2p9CdK&#10;Ohj1lJqPO6YFJfVrCZINw/nMd58DWjFoAAyNRhCdB3iXobkI4hjumOSQLaXZabu2PX+7VlfbEh4L&#10;sEqpVqD0okINOow9sGE+YKKxacPv476M5zZ6/fgjl98BAAD//wMAUEsDBBQABgAIAAAAIQCrjbeM&#10;3AAAAAYBAAAPAAAAZHJzL2Rvd25yZXYueG1sTI/BTsMwEETvSP0Ha5G4UTutStsQpyogLj0g0fbQ&#10;oxMvSYS9DrbThr/H5QKXlUYzmnlbbEZr2Bl96BxJyKYCGFLtdEeNhOPh9X4FLERFWhlHKOEbA2zK&#10;yU2hcu0u9I7nfWxYKqGQKwltjH3OeahbtCpMXY+UvA/nrYpJ+oZrry6p3Bo+E+KBW9VRWmhVj88t&#10;1p/7wUrA0/DUhFmFRvQvb3O/+1qfup2Ud7fj9hFYxDH+heGKn9ChTEyVG0gHZiSkR+LvvXrZIlsC&#10;qyQslnMBvCz4f/zyBwAA//8DAFBLAQItABQABgAIAAAAIQC2gziS/gAAAOEBAAATAAAAAAAAAAAA&#10;AAAAAAAAAABbQ29udGVudF9UeXBlc10ueG1sUEsBAi0AFAAGAAgAAAAhADj9If/WAAAAlAEAAAsA&#10;AAAAAAAAAAAAAAAALwEAAF9yZWxzLy5yZWxzUEsBAi0AFAAGAAgAAAAhAJGZD/GzAgAAawUAAA4A&#10;AAAAAAAAAAAAAAAALgIAAGRycy9lMm9Eb2MueG1sUEsBAi0AFAAGAAgAAAAhAKuNt4zcAAAABgEA&#10;AA8AAAAAAAAAAAAAAAAADQUAAGRycy9kb3ducmV2LnhtbFBLBQYAAAAABAAEAPMAAAAWBgAAAAA=&#10;" fillcolor="#3572a5" stroked="f">
            <v:textbox inset="18pt,,108pt,7.2pt">
              <w:txbxContent>
                <w:p w:rsidR="00412BC3" w:rsidRPr="004D166D" w:rsidRDefault="00412BC3" w:rsidP="00412BC3">
                  <w:pPr>
                    <w:pStyle w:val="Sinespaciado"/>
                    <w:spacing w:before="240" w:after="240"/>
                    <w:ind w:right="-2104"/>
                    <w:jc w:val="center"/>
                    <w:rPr>
                      <w:rFonts w:ascii="Trebuchet MS" w:hAnsi="Trebuchet MS"/>
                      <w:color w:val="FFFFFF"/>
                      <w:sz w:val="40"/>
                      <w:szCs w:val="40"/>
                    </w:rPr>
                  </w:pPr>
                </w:p>
                <w:p w:rsidR="00412BC3" w:rsidRPr="004D166D" w:rsidRDefault="00412BC3" w:rsidP="00412BC3">
                  <w:pPr>
                    <w:pStyle w:val="Sinespaciado"/>
                    <w:spacing w:before="240" w:after="240"/>
                    <w:ind w:right="-2104"/>
                    <w:jc w:val="center"/>
                    <w:rPr>
                      <w:rFonts w:ascii="Trebuchet MS" w:hAnsi="Trebuchet MS"/>
                      <w:color w:val="FFFFFF"/>
                      <w:sz w:val="40"/>
                      <w:szCs w:val="40"/>
                    </w:rPr>
                  </w:pPr>
                </w:p>
                <w:p w:rsidR="00412BC3" w:rsidRPr="004D166D" w:rsidRDefault="00412BC3" w:rsidP="00412BC3">
                  <w:pPr>
                    <w:pStyle w:val="Sinespaciado"/>
                    <w:spacing w:before="240" w:after="240"/>
                    <w:ind w:right="-2104"/>
                    <w:jc w:val="center"/>
                    <w:rPr>
                      <w:rFonts w:ascii="Trebuchet MS" w:hAnsi="Trebuchet MS"/>
                      <w:color w:val="FFFFFF"/>
                      <w:sz w:val="40"/>
                      <w:szCs w:val="40"/>
                    </w:rPr>
                  </w:pPr>
                </w:p>
                <w:p w:rsidR="00412BC3" w:rsidRPr="004D166D" w:rsidRDefault="00412BC3" w:rsidP="00412BC3">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412BC3" w:rsidRPr="004D166D" w:rsidRDefault="00412BC3" w:rsidP="00412BC3">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412BC3" w:rsidRPr="004D166D" w:rsidRDefault="00412BC3" w:rsidP="00412BC3">
                  <w:pPr>
                    <w:pStyle w:val="Sinespaciado"/>
                    <w:ind w:right="-2104"/>
                    <w:jc w:val="center"/>
                    <w:rPr>
                      <w:rFonts w:ascii="Cambria" w:hAnsi="Cambria"/>
                      <w:color w:val="FFFFFF"/>
                      <w:sz w:val="64"/>
                      <w:szCs w:val="64"/>
                    </w:rPr>
                  </w:pPr>
                </w:p>
                <w:p w:rsidR="00412BC3" w:rsidRPr="004D166D" w:rsidRDefault="00412BC3" w:rsidP="00412BC3">
                  <w:pPr>
                    <w:pStyle w:val="Sinespaciado"/>
                    <w:ind w:right="-2104"/>
                    <w:jc w:val="center"/>
                    <w:rPr>
                      <w:rFonts w:ascii="Cambria" w:hAnsi="Cambria"/>
                      <w:color w:val="FFFFFF"/>
                      <w:sz w:val="64"/>
                      <w:szCs w:val="64"/>
                    </w:rPr>
                  </w:pPr>
                </w:p>
                <w:p w:rsidR="0012107C" w:rsidRPr="00175D99" w:rsidRDefault="0012107C" w:rsidP="00E057EC">
                  <w:pPr>
                    <w:pStyle w:val="Sinespaciado"/>
                    <w:ind w:right="-2091"/>
                    <w:rPr>
                      <w:rFonts w:ascii="Cambria" w:hAnsi="Cambria"/>
                      <w:color w:val="FFFFFF"/>
                      <w:sz w:val="56"/>
                      <w:szCs w:val="56"/>
                    </w:rPr>
                  </w:pPr>
                </w:p>
              </w:txbxContent>
            </v:textbox>
            <w10:wrap anchorx="margin" anchory="margin"/>
          </v:rect>
        </w:pict>
      </w:r>
    </w:p>
    <w:p w:rsidR="0012107C" w:rsidRDefault="009B4274" w:rsidP="00163884">
      <w:pPr>
        <w:rPr>
          <w:rFonts w:ascii="Trebuchet MS" w:hAnsi="Trebuchet MS"/>
          <w:b/>
          <w:sz w:val="40"/>
          <w:szCs w:val="40"/>
          <w:u w:val="single"/>
        </w:rPr>
        <w:sectPr w:rsidR="0012107C" w:rsidSect="004437F8">
          <w:headerReference w:type="default" r:id="rId7"/>
          <w:footerReference w:type="even" r:id="rId8"/>
          <w:footerReference w:type="default" r:id="rId9"/>
          <w:footerReference w:type="first" r:id="rId10"/>
          <w:type w:val="continuous"/>
          <w:pgSz w:w="11907" w:h="16839" w:code="9"/>
          <w:pgMar w:top="1418" w:right="1701" w:bottom="1418" w:left="1701" w:header="567" w:footer="567" w:gutter="0"/>
          <w:pgNumType w:start="0"/>
          <w:cols w:space="708"/>
          <w:titlePg/>
          <w:docGrid w:linePitch="360"/>
        </w:sectPr>
      </w:pPr>
      <w:r>
        <w:rPr>
          <w:noProof/>
          <w:lang w:val="es-AR" w:eastAsia="es-AR"/>
        </w:rPr>
        <w:pict>
          <v:shapetype id="_x0000_t202" coordsize="21600,21600" o:spt="202" path="m,l,21600r21600,l21600,xe">
            <v:stroke joinstyle="miter"/>
            <v:path gradientshapeok="t" o:connecttype="rect"/>
          </v:shapetype>
          <v:shape id="Cuadro de texto 387" o:spid="_x0000_s1027" type="#_x0000_t202" style="position:absolute;margin-left:115.95pt;margin-top:400.15pt;width:326.3pt;height:123.75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RaiAIAAHY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aR2OFZ2DeUBC+6gnR1v+W2FRbljPjwyh8OChcQF&#10;EB7wIxVg8qGTKNmC+/23+4jHHkYtJTUOX0H9rx1zghL1zWB3f44dgtOaDvl0OJ3iyZ2q1qcHs9Mr&#10;wLLkuGssT2LEB9WL0oF+wUWxjM+iihmOjxc09OIqtDsBFw0Xy2UC4YBaFu7Mk+XRdaxS7Lnn5oU5&#10;2zVmnI976OeUzc76s8VGSwPLXQBZpeaNiW7T2hUAhzu1f7eI4vY4PSfU27pcvAIAAP//AwBQSwME&#10;FAAGAAgAAAAhAJKZhW7eAAAADAEAAA8AAABkcnMvZG93bnJldi54bWxMj0FOwzAQRfdI3MEaJHbU&#10;butSN8SpAKkHIIAEOyd244h4HMVuG27PsILl6D/9/6bcz2FgZzelPqKG5UIAc9hG22On4e31cKeA&#10;pWzQmiGi0/DtEuyr66vSFDZe8MWd69wxKsFUGA0+57HgPLXeBZMWcXRI2TFOwWQ6p47byVyoPAx8&#10;JcQ9D6ZHWvBmdM/etV/1KWj4NK3fyPfDdn764IhNI7mspda3N/PjA7Ds5vwHw68+qUNFTk08oU1s&#10;0LBaL3eEalBCrIERoZTcAGsIFXKrgFcl//9E9QMAAP//AwBQSwECLQAUAAYACAAAACEAtoM4kv4A&#10;AADhAQAAEwAAAAAAAAAAAAAAAAAAAAAAW0NvbnRlbnRfVHlwZXNdLnhtbFBLAQItABQABgAIAAAA&#10;IQA4/SH/1gAAAJQBAAALAAAAAAAAAAAAAAAAAC8BAABfcmVscy8ucmVsc1BLAQItABQABgAIAAAA&#10;IQAmIERaiAIAAHYFAAAOAAAAAAAAAAAAAAAAAC4CAABkcnMvZTJvRG9jLnhtbFBLAQItABQABgAI&#10;AAAAIQCSmYVu3gAAAAwBAAAPAAAAAAAAAAAAAAAAAOIEAABkcnMvZG93bnJldi54bWxQSwUGAAAA&#10;AAQABADzAAAA7QUAAAAA&#10;" filled="f" stroked="f" strokeweight=".5pt">
            <v:textbox inset=",14.4pt,,7.2pt">
              <w:txbxContent>
                <w:p w:rsidR="0012107C" w:rsidRPr="00166968" w:rsidRDefault="0012107C" w:rsidP="00163884">
                  <w:pPr>
                    <w:suppressOverlap/>
                    <w:rPr>
                      <w:rFonts w:ascii="Cambria" w:hAnsi="Cambria"/>
                      <w:b/>
                      <w:sz w:val="48"/>
                      <w:szCs w:val="48"/>
                    </w:rPr>
                  </w:pPr>
                  <w:bookmarkStart w:id="0" w:name="_Toc532576124"/>
                  <w:r w:rsidRPr="00166968">
                    <w:rPr>
                      <w:rFonts w:ascii="Cambria" w:hAnsi="Cambria"/>
                      <w:b/>
                      <w:sz w:val="48"/>
                      <w:szCs w:val="48"/>
                    </w:rPr>
                    <w:t>ADMINISTRACIÓN PÚBLICA NO FINANCIERA</w:t>
                  </w:r>
                  <w:bookmarkEnd w:id="0"/>
                </w:p>
                <w:p w:rsidR="0012107C" w:rsidRPr="00166968" w:rsidRDefault="0012107C" w:rsidP="00163884">
                  <w:pPr>
                    <w:rPr>
                      <w:rFonts w:ascii="Cambria" w:hAnsi="Cambria"/>
                      <w:b/>
                      <w:sz w:val="36"/>
                      <w:szCs w:val="36"/>
                    </w:rPr>
                  </w:pPr>
                </w:p>
                <w:p w:rsidR="0012107C" w:rsidRPr="00166968" w:rsidRDefault="0012107C" w:rsidP="00163884">
                  <w:pPr>
                    <w:rPr>
                      <w:rFonts w:ascii="Cambria" w:hAnsi="Cambria"/>
                      <w:b/>
                      <w:sz w:val="36"/>
                      <w:szCs w:val="36"/>
                    </w:rPr>
                  </w:pPr>
                  <w:r w:rsidRPr="00166968">
                    <w:rPr>
                      <w:rFonts w:ascii="Cambria" w:hAnsi="Cambria"/>
                      <w:b/>
                      <w:sz w:val="36"/>
                      <w:szCs w:val="36"/>
                    </w:rPr>
                    <w:t>SEGUNDO TRIMESTRE 20</w:t>
                  </w:r>
                  <w:r w:rsidR="00D342BB" w:rsidRPr="00166968">
                    <w:rPr>
                      <w:rFonts w:ascii="Cambria" w:hAnsi="Cambria"/>
                      <w:b/>
                      <w:sz w:val="36"/>
                      <w:szCs w:val="36"/>
                    </w:rPr>
                    <w:t>20</w:t>
                  </w:r>
                </w:p>
              </w:txbxContent>
            </v:textbox>
            <w10:wrap anchorx="margin" anchory="margin"/>
          </v:shape>
        </w:pict>
      </w:r>
      <w:r>
        <w:rPr>
          <w:noProof/>
          <w:lang w:val="es-AR" w:eastAsia="es-AR"/>
        </w:rPr>
        <w:pict>
          <v:group id="Grupo 7" o:spid="_x0000_s1028" style="position:absolute;margin-left:443.45pt;margin-top:360.85pt;width:58.3pt;height:61.2pt;rotation:90;z-index:251657728;mso-position-horizontal-relative:page;mso-position-vertical-relative:page"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Dat32z3wAAAAwBAAAPAAAAZHJzL2Rvd25yZXYueG1sTI/BTsMwEETvSPyD&#10;tUhcUOskikoa4lQFlA+gBdGjGy9xhL1OY7cJf497guNoRjNvqs1sDbvg6HtHAtJlAgypdaqnTsD7&#10;vlkUwHyQpKRxhAJ+0MOmvr2pZKncRG942YWOxRLypRSgQxhKzn2r0Uq/dANS9L7caGWIcuy4GuUU&#10;y63hWZKsuJU9xQUtB3zR2H7vzlYAnT6K5mQ+H5pDO6bb52mtXw9BiPu7efsELOAc/sJwxY/oUEem&#10;ozuT8swIKIo8fgkCHrN8BeyaiHs5sGP08jQDXlf8/4n6FwAA//8DAFBLAQItABQABgAIAAAAIQC2&#10;gziS/gAAAOEBAAATAAAAAAAAAAAAAAAAAAAAAABbQ29udGVudF9UeXBlc10ueG1sUEsBAi0AFAAG&#10;AAgAAAAhADj9If/WAAAAlAEAAAsAAAAAAAAAAAAAAAAALwEAAF9yZWxzLy5yZWxzUEsBAi0AFAAG&#10;AAgAAAAhANTnaQapAwAAWQ8AAA4AAAAAAAAAAAAAAAAALgIAAGRycy9lMm9Eb2MueG1sUEsBAi0A&#10;FAAGAAgAAAAhANq3fbPfAAAADAEAAA8AAAAAAAAAAAAAAAAAAwYAAGRycy9kb3ducmV2LnhtbFBL&#10;BQYAAAAABAAEAPMAAAAP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9"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8LPL4A&#10;AADcAAAADwAAAGRycy9kb3ducmV2LnhtbERPTWsCMRC9C/6HMEJvmtWC6NYoRRC8VmXP42bcbLuZ&#10;xCSr23/fHAoeH+97sxtsJx4UYutYwXxWgCCunW65UXA5H6YrEDEha+wck4JfirDbjkcbLLV78hc9&#10;TqkROYRjiQpMSr6UMtaGLMaZ88SZu7lgMWUYGqkDPnO47eSiKJbSYsu5waCnvaH659RbBZWt/MFU&#10;Mfl73/tLOJ7t6vqt1Ntk+PwAkWhIL/G/+6gVvK/z/HwmHwG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q/Czy+AAAA3AAAAA8AAAAAAAAAAAAAAAAAmAIAAGRycy9kb3ducmV2&#10;LnhtbFBLBQYAAAAABAAEAPUAAACDAwAAAAA=&#10;" adj="10330" fillcolor="#91a6cf" stroked="f" strokecolor="white"/>
            <v:shape id="AutoShape 9" o:spid="_x0000_s1030"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oqq8YA&#10;AADcAAAADwAAAGRycy9kb3ducmV2LnhtbESPS2vCQBSF90L/w3AL3ekkLfWROooKgtBFNVGku0vm&#10;NkmbuRMyo8Z/7xQEl4fz+DjTeWdqcabWVZYVxIMIBHFudcWFgn227o9BOI+ssbZMCq7kYD576k0x&#10;0fbCOzqnvhBhhF2CCkrvm0RKl5dk0A1sQxy8H9sa9EG2hdQtXsK4qeVrFA2lwYoDocSGViXlf+nJ&#10;BO7vNovx+32UxoX7+swWy83xsFPq5blbfIDw1PlH+N7eaAVvkxj+z4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oqq8YAAADcAAAADwAAAAAAAAAAAAAAAACYAgAAZHJz&#10;L2Rvd25yZXYueG1sUEsFBgAAAAAEAAQA9QAAAIsDAAAAAA==&#10;" adj="10330" fillcolor="#5b6c9d"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djrsMA&#10;AADcAAAADwAAAGRycy9kb3ducmV2LnhtbESPT4vCMBTE78J+h/AEb5rqwmKrUdyFZT2t+AfB27N5&#10;NsXmpTRR67c3guBxmJnfMNN5aytxpcaXjhUMBwkI4tzpkgsFu+1vfwzCB2SNlWNScCcP89lHZ4qZ&#10;djde03UTChEh7DNUYEKoMyl9bsiiH7iaOHon11gMUTaF1A3eItxWcpQkX9JiyXHBYE0/hvLz5mIV&#10;8CUlmSxX//5Q7Kq/ozac77+V6nXbxQREoDa8w6/2Uiv4TEf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djrsMAAADcAAAADwAAAAAAAAAAAAAAAACYAgAAZHJzL2Rv&#10;d25yZXYueG1sUEsFBgAAAAAEAAQA9QAAAIgDAAAAAA==&#10;" adj="10834" fillcolor="#274e9d" stroked="f" strokecolor="white"/>
            <w10:wrap anchorx="page" anchory="page"/>
          </v:group>
        </w:pict>
      </w:r>
      <w:r>
        <w:rPr>
          <w:noProof/>
          <w:lang w:val="es-AR" w:eastAsia="es-AR"/>
        </w:rPr>
        <w:pict>
          <v:rect id="Rectángulo 388" o:spid="_x0000_s1032" style="position:absolute;margin-left:-21.3pt;margin-top:251.6pt;width:467.75pt;height:482.35pt;z-index:-251660800;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VuogIAAIs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raDYY9tYaOfJGX5T4bPdMucfmMUBwqfGpeDv8SMVNDmF7kRJCfbnsftgj32NWkoaHMicuh8bZgUl&#10;6pvGjr/IxuMwwVEYT85GKNhDzepQozf1NWA3ZLh+DI/HYO9Vf5QW6hfcHYsQFVVMc4ydU+5tL1z7&#10;dlHg9uFisYhmOLWG+Vv9ZHgAD6yGtnzevTBrut712PZ30A8vm71r4dY2eGpYbDzIKvb3G68d3zjx&#10;sW+67RRWyqEcrd526Pw3AAAA//8DAFBLAwQUAAYACAAAACEAVemhReEAAAAMAQAADwAAAGRycy9k&#10;b3ducmV2LnhtbEyPy07DMBBF90j8gzVI7FqnoaRNiFMFJBALNm3p3o1NHDUeR7Hz6N8zrMpyNEf3&#10;npvvZtuyUfe+cShgtYyAaaycarAW8H18X2yB+SBRydahFnDVHnbF/V0uM+Um3OvxEGpGIegzKcCE&#10;0GWc+8poK/3SdRrp9+N6KwOdfc1VLycKty2PoyjhVjZIDUZ2+s3o6nIYrIDPtDymr5dTafYfUyxP&#10;X3xYXUchHh/m8gVY0HO4wfCnT+pQkNPZDag8awUs1nFCqIDn6CkGRkS63dC6M6HrZJMCL3L+f0Tx&#10;CwAA//8DAFBLAQItABQABgAIAAAAIQC2gziS/gAAAOEBAAATAAAAAAAAAAAAAAAAAAAAAABbQ29u&#10;dGVudF9UeXBlc10ueG1sUEsBAi0AFAAGAAgAAAAhADj9If/WAAAAlAEAAAsAAAAAAAAAAAAAAAAA&#10;LwEAAF9yZWxzLy5yZWxzUEsBAi0AFAAGAAgAAAAhAHFl1W6iAgAAiwUAAA4AAAAAAAAAAAAAAAAA&#10;LgIAAGRycy9lMm9Eb2MueG1sUEsBAi0AFAAGAAgAAAAhAFXpoUXhAAAADAEAAA8AAAAAAAAAAAAA&#10;AAAA/AQAAGRycy9kb3ducmV2LnhtbFBLBQYAAAAABAAEAPMAAAAKBgAAAAA=&#10;" fillcolor="#abd4ed" stroked="f" strokeweight="2pt">
            <w10:wrap anchorx="margin" anchory="margin"/>
          </v:rect>
        </w:pict>
      </w:r>
      <w:r>
        <w:rPr>
          <w:noProof/>
          <w:lang w:val="es-AR" w:eastAsia="es-AR"/>
        </w:rPr>
        <w:pict>
          <v:shape id="4 Cuadro de texto" o:spid="_x0000_s1033" type="#_x0000_t202" style="position:absolute;margin-left:-9.3pt;margin-top:616.2pt;width:378.75pt;height:83.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O3hgIAAHEFAAAOAAAAZHJzL2Uyb0RvYy54bWysVE1v2zAMvQ/YfxB0X21nSdsFdYosRYYB&#10;QVssHXpWZKkxJomapMTOfv0o2U6CbpcOu9iU+Ejx45E3t61WZC+cr8GUtLjIKRGGQ1Wbl5J+f1p+&#10;uKbEB2YqpsCIkh6Ep7ez9+9uGjsVI9iCqoQj6MT4aWNLug3BTrPM863QzF+AFQaVEpxmAY/uJasc&#10;a9C7Vtkozy+zBlxlHXDhPd7edUo6S/6lFDw8SOlFIKqkGFtIX5e+m/jNZjds+uKY3da8D4P9QxSa&#10;1QYfPbq6Y4GRnav/cKVr7sCDDBccdAZS1lykHDCbIn+VzXrLrEi5YHG8PZbJ/z+3/H7/6EhdlXRM&#10;iWEaWzQmix2rHJBKkCDaALFIjfVTxK4tokP7GVps9nDv8TLm3kqn4x+zIqjHch+OJUY/hOPl+LrI&#10;i9GEEo66Ip9cja4m0U92MrfOhy8CNIlCSR32MJWW7Vc+dNABEl8zsKyVSn1UhjQlvfw4yZPBUYPO&#10;lYlYkRjRu4kpdaEnKRyUiBhlvgmJFUkZxIvERbFQjuwZsohxLkxIySe/iI4oiUG8xbDHn6J6i3GX&#10;x/AymHA01rUBl7J/FXb1YwhZdnis+VneUQztpk1UGA2d3UB1wIY76ObGW76ssSkr5sMjczgo2GMc&#10;/vCAH6kAiw+9RMkW3K+/3Uc88he1lDQ4eCX1P3fMCUrUV4PM/lSMx3FS02GMBMGDO9dszjVmpxeA&#10;XSlwzViexIgPahClA/2MO2IeX0UVMxzfLmkYxEXo1gHuGC7m8wTC2bQsrMza8ug6NilS7ql9Zs72&#10;vIyjcQ/DiLLpK3p22GhpYL4LIOvE3Vjnrqp9/XGuE/v7HRQXx/k5oU6bcvYbAAD//wMAUEsDBBQA&#10;BgAIAAAAIQA/Mj5e5AAAAA0BAAAPAAAAZHJzL2Rvd25yZXYueG1sTI9BT8MwDIXvSPyHyEjctnQt&#10;jK40naZKExKCw8Yu3NLGaysapzTZVvj1mBPcbL+n5+/l68n24oyj7xwpWMwjEEi1Mx01Cg5v21kK&#10;wgdNRveOUMEXelgX11e5zoy70A7P+9AIDiGfaQVtCEMmpa9btNrP3YDE2tGNVgdex0aaUV843PYy&#10;jqKltLoj/tDqAcsW64/9ySp4LrevelfFNv3uy6eX42b4PLzfK3V7M20eQQScwp8ZfvEZHQpmqtyJ&#10;jBe9gtkiXbKVhTiJ70Cw5SFJVyAqPiUrnmSRy/8tih8AAAD//wMAUEsBAi0AFAAGAAgAAAAhALaD&#10;OJL+AAAA4QEAABMAAAAAAAAAAAAAAAAAAAAAAFtDb250ZW50X1R5cGVzXS54bWxQSwECLQAUAAYA&#10;CAAAACEAOP0h/9YAAACUAQAACwAAAAAAAAAAAAAAAAAvAQAAX3JlbHMvLnJlbHNQSwECLQAUAAYA&#10;CAAAACEAbSyTt4YCAABxBQAADgAAAAAAAAAAAAAAAAAuAgAAZHJzL2Uyb0RvYy54bWxQSwECLQAU&#10;AAYACAAAACEAPzI+XuQAAAANAQAADwAAAAAAAAAAAAAAAADgBAAAZHJzL2Rvd25yZXYueG1sUEsF&#10;BgAAAAAEAAQA8wAAAPEFAAAAAA==&#10;" filled="f" stroked="f" strokeweight=".5pt">
            <v:textbox>
              <w:txbxContent>
                <w:p w:rsidR="00166968" w:rsidRPr="00166968" w:rsidRDefault="00166968" w:rsidP="00166968">
                  <w:pPr>
                    <w:rPr>
                      <w:rFonts w:ascii="Cambria" w:eastAsia="Dotum" w:hAnsi="Cambria"/>
                      <w:b/>
                      <w:sz w:val="28"/>
                      <w:szCs w:val="28"/>
                      <w:lang w:val="es-AR"/>
                    </w:rPr>
                  </w:pPr>
                  <w:r w:rsidRPr="00166968">
                    <w:rPr>
                      <w:rFonts w:ascii="Cambria" w:eastAsia="Dotum" w:hAnsi="Cambria"/>
                      <w:b/>
                      <w:sz w:val="28"/>
                      <w:szCs w:val="28"/>
                      <w:lang w:val="es-AR"/>
                    </w:rPr>
                    <w:t>Dirección Nacional de Asuntos Provinciales</w:t>
                  </w:r>
                </w:p>
                <w:p w:rsidR="00166968" w:rsidRPr="00166968" w:rsidRDefault="00166968" w:rsidP="00166968">
                  <w:pPr>
                    <w:rPr>
                      <w:rFonts w:ascii="Cambria" w:eastAsia="Dotum" w:hAnsi="Cambria"/>
                      <w:b/>
                      <w:sz w:val="16"/>
                      <w:szCs w:val="16"/>
                      <w:lang w:val="es-AR"/>
                    </w:rPr>
                  </w:pPr>
                </w:p>
                <w:p w:rsidR="0012107C" w:rsidRPr="00166968" w:rsidRDefault="0012107C">
                  <w:pPr>
                    <w:rPr>
                      <w:rFonts w:ascii="Cambria" w:eastAsia="Dotum" w:hAnsi="Cambria"/>
                      <w:b/>
                      <w:sz w:val="28"/>
                      <w:szCs w:val="28"/>
                      <w:lang w:val="es-AR"/>
                    </w:rPr>
                  </w:pPr>
                  <w:r w:rsidRPr="00166968">
                    <w:rPr>
                      <w:rFonts w:ascii="Cambria" w:eastAsia="Dotum" w:hAnsi="Cambria"/>
                      <w:b/>
                      <w:sz w:val="28"/>
                      <w:szCs w:val="28"/>
                      <w:lang w:val="es-AR"/>
                    </w:rPr>
                    <w:t>SECRETARÍA DE HACIENDA</w:t>
                  </w:r>
                </w:p>
                <w:p w:rsidR="0012107C" w:rsidRPr="00166968" w:rsidRDefault="0012107C">
                  <w:pPr>
                    <w:rPr>
                      <w:rFonts w:ascii="Cambria" w:eastAsia="Dotum" w:hAnsi="Cambria"/>
                      <w:b/>
                      <w:sz w:val="16"/>
                      <w:szCs w:val="16"/>
                      <w:lang w:val="es-AR"/>
                    </w:rPr>
                  </w:pPr>
                </w:p>
                <w:p w:rsidR="0012107C" w:rsidRPr="00166968" w:rsidRDefault="0012107C">
                  <w:pPr>
                    <w:rPr>
                      <w:rFonts w:ascii="Cambria" w:hAnsi="Cambria"/>
                      <w:b/>
                      <w:caps/>
                      <w:sz w:val="28"/>
                      <w:szCs w:val="28"/>
                      <w:lang w:val="es-AR"/>
                    </w:rPr>
                  </w:pPr>
                  <w:r w:rsidRPr="00166968">
                    <w:rPr>
                      <w:rFonts w:ascii="Cambria" w:eastAsia="Dotum" w:hAnsi="Cambria"/>
                      <w:b/>
                      <w:caps/>
                      <w:sz w:val="28"/>
                      <w:szCs w:val="28"/>
                      <w:lang w:val="es-AR"/>
                    </w:rPr>
                    <w:t xml:space="preserve">MINISTERIO DE </w:t>
                  </w:r>
                  <w:r w:rsidR="00166968" w:rsidRPr="00166968">
                    <w:rPr>
                      <w:rFonts w:ascii="Cambria" w:eastAsia="Dotum" w:hAnsi="Cambria"/>
                      <w:b/>
                      <w:caps/>
                      <w:sz w:val="28"/>
                      <w:szCs w:val="28"/>
                      <w:lang w:val="es-AR"/>
                    </w:rPr>
                    <w:t>economía</w:t>
                  </w:r>
                </w:p>
              </w:txbxContent>
            </v:textbox>
          </v:shape>
        </w:pict>
      </w: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p>
    <w:p w:rsidR="0012107C" w:rsidRPr="000C667D" w:rsidRDefault="0012107C" w:rsidP="003E7251">
      <w:pPr>
        <w:jc w:val="center"/>
        <w:rPr>
          <w:rFonts w:ascii="Calibri" w:hAnsi="Calibri"/>
          <w:b/>
          <w:sz w:val="32"/>
          <w:szCs w:val="32"/>
        </w:rPr>
      </w:pPr>
      <w:r w:rsidRPr="000C667D">
        <w:rPr>
          <w:rFonts w:ascii="Calibri" w:hAnsi="Calibri"/>
          <w:b/>
          <w:sz w:val="32"/>
          <w:szCs w:val="32"/>
        </w:rPr>
        <w:t>INDICE</w:t>
      </w:r>
    </w:p>
    <w:p w:rsidR="0012107C" w:rsidRPr="000C667D" w:rsidRDefault="0012107C" w:rsidP="003E7251">
      <w:pPr>
        <w:jc w:val="center"/>
        <w:rPr>
          <w:rFonts w:ascii="Calibri" w:hAnsi="Calibri"/>
          <w:b/>
          <w:sz w:val="32"/>
          <w:szCs w:val="32"/>
        </w:rPr>
      </w:pPr>
    </w:p>
    <w:p w:rsidR="00A810D9" w:rsidRPr="00412BC3" w:rsidRDefault="0012107C">
      <w:pPr>
        <w:pStyle w:val="TDC1"/>
        <w:rPr>
          <w:rFonts w:asciiTheme="minorHAnsi" w:eastAsiaTheme="minorEastAsia" w:hAnsiTheme="minorHAnsi" w:cstheme="minorBidi"/>
          <w:b w:val="0"/>
          <w:bCs w:val="0"/>
          <w:caps w:val="0"/>
          <w:noProof/>
          <w:color w:val="auto"/>
          <w:sz w:val="22"/>
          <w:szCs w:val="22"/>
          <w:lang w:val="es-AR" w:eastAsia="es-AR"/>
        </w:rPr>
      </w:pPr>
      <w:r w:rsidRPr="00412BC3">
        <w:rPr>
          <w:noProof/>
          <w:color w:val="auto"/>
        </w:rPr>
        <w:fldChar w:fldCharType="begin"/>
      </w:r>
      <w:r w:rsidRPr="00412BC3">
        <w:rPr>
          <w:noProof/>
          <w:color w:val="auto"/>
        </w:rPr>
        <w:instrText xml:space="preserve"> TOC \o "1-3" \h \z \u </w:instrText>
      </w:r>
      <w:r w:rsidRPr="00412BC3">
        <w:rPr>
          <w:noProof/>
          <w:color w:val="auto"/>
        </w:rPr>
        <w:fldChar w:fldCharType="separate"/>
      </w:r>
      <w:hyperlink w:anchor="_Toc98777230" w:history="1">
        <w:r w:rsidR="00A810D9" w:rsidRPr="00412BC3">
          <w:rPr>
            <w:rStyle w:val="Hipervnculo"/>
            <w:noProof/>
            <w:color w:val="auto"/>
          </w:rPr>
          <w:t>1. INTRODUCCIÓN</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_Toc98777230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2</w:t>
        </w:r>
        <w:r w:rsidR="00A810D9" w:rsidRPr="00412BC3">
          <w:rPr>
            <w:noProof/>
            <w:webHidden/>
            <w:color w:val="auto"/>
          </w:rPr>
          <w:fldChar w:fldCharType="end"/>
        </w:r>
      </w:hyperlink>
    </w:p>
    <w:p w:rsidR="00A810D9" w:rsidRPr="00412BC3" w:rsidRDefault="009B4274">
      <w:pPr>
        <w:pStyle w:val="TDC1"/>
        <w:rPr>
          <w:rFonts w:asciiTheme="minorHAnsi" w:eastAsiaTheme="minorEastAsia" w:hAnsiTheme="minorHAnsi" w:cstheme="minorBidi"/>
          <w:b w:val="0"/>
          <w:bCs w:val="0"/>
          <w:caps w:val="0"/>
          <w:noProof/>
          <w:color w:val="auto"/>
          <w:sz w:val="22"/>
          <w:szCs w:val="22"/>
          <w:lang w:val="es-AR" w:eastAsia="es-AR"/>
        </w:rPr>
      </w:pPr>
      <w:hyperlink w:anchor="_Toc98777231" w:history="1">
        <w:r w:rsidR="00A810D9" w:rsidRPr="00412BC3">
          <w:rPr>
            <w:rStyle w:val="Hipervnculo"/>
            <w:noProof/>
            <w:color w:val="auto"/>
          </w:rPr>
          <w:t>2. RESULTADOS FISCALES</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_Toc98777231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3</w:t>
        </w:r>
        <w:r w:rsidR="00A810D9" w:rsidRPr="00412BC3">
          <w:rPr>
            <w:noProof/>
            <w:webHidden/>
            <w:color w:val="auto"/>
          </w:rPr>
          <w:fldChar w:fldCharType="end"/>
        </w:r>
      </w:hyperlink>
    </w:p>
    <w:p w:rsidR="00A810D9" w:rsidRPr="00412BC3" w:rsidRDefault="009B4274">
      <w:pPr>
        <w:pStyle w:val="TDC1"/>
        <w:rPr>
          <w:rFonts w:asciiTheme="minorHAnsi" w:eastAsiaTheme="minorEastAsia" w:hAnsiTheme="minorHAnsi" w:cstheme="minorBidi"/>
          <w:b w:val="0"/>
          <w:bCs w:val="0"/>
          <w:caps w:val="0"/>
          <w:noProof/>
          <w:color w:val="auto"/>
          <w:sz w:val="22"/>
          <w:szCs w:val="22"/>
          <w:lang w:val="es-AR" w:eastAsia="es-AR"/>
        </w:rPr>
      </w:pPr>
      <w:hyperlink w:anchor="_Toc98777232" w:history="1">
        <w:r w:rsidR="00A810D9" w:rsidRPr="00412BC3">
          <w:rPr>
            <w:rStyle w:val="Hipervnculo"/>
            <w:noProof/>
            <w:color w:val="auto"/>
          </w:rPr>
          <w:t>3. RECURSOS</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_Toc98777232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3</w:t>
        </w:r>
        <w:r w:rsidR="00A810D9" w:rsidRPr="00412BC3">
          <w:rPr>
            <w:noProof/>
            <w:webHidden/>
            <w:color w:val="auto"/>
          </w:rPr>
          <w:fldChar w:fldCharType="end"/>
        </w:r>
      </w:hyperlink>
    </w:p>
    <w:p w:rsidR="00A810D9" w:rsidRPr="00412BC3" w:rsidRDefault="009B4274">
      <w:pPr>
        <w:pStyle w:val="TDC1"/>
        <w:rPr>
          <w:rFonts w:asciiTheme="minorHAnsi" w:eastAsiaTheme="minorEastAsia" w:hAnsiTheme="minorHAnsi" w:cstheme="minorBidi"/>
          <w:b w:val="0"/>
          <w:bCs w:val="0"/>
          <w:caps w:val="0"/>
          <w:noProof/>
          <w:color w:val="auto"/>
          <w:sz w:val="22"/>
          <w:szCs w:val="22"/>
          <w:lang w:val="es-AR" w:eastAsia="es-AR"/>
        </w:rPr>
      </w:pPr>
      <w:hyperlink w:anchor="_Toc98777233" w:history="1">
        <w:r w:rsidR="00A810D9" w:rsidRPr="00412BC3">
          <w:rPr>
            <w:rStyle w:val="Hipervnculo"/>
            <w:noProof/>
            <w:color w:val="auto"/>
          </w:rPr>
          <w:t>4. GASTOS</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_Toc98777233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7</w:t>
        </w:r>
        <w:r w:rsidR="00A810D9" w:rsidRPr="00412BC3">
          <w:rPr>
            <w:noProof/>
            <w:webHidden/>
            <w:color w:val="auto"/>
          </w:rPr>
          <w:fldChar w:fldCharType="end"/>
        </w:r>
      </w:hyperlink>
    </w:p>
    <w:p w:rsidR="00A810D9" w:rsidRPr="00412BC3" w:rsidRDefault="009B4274">
      <w:pPr>
        <w:pStyle w:val="TDC3"/>
        <w:rPr>
          <w:rFonts w:asciiTheme="minorHAnsi" w:eastAsiaTheme="minorEastAsia" w:hAnsiTheme="minorHAnsi" w:cstheme="minorBidi"/>
          <w:b w:val="0"/>
          <w:noProof/>
          <w:color w:val="auto"/>
          <w:kern w:val="0"/>
          <w:sz w:val="22"/>
          <w:szCs w:val="22"/>
          <w:lang w:val="es-AR" w:eastAsia="es-AR"/>
        </w:rPr>
      </w:pPr>
      <w:hyperlink w:anchor="_Toc98777234" w:history="1">
        <w:r w:rsidR="00A810D9" w:rsidRPr="00412BC3">
          <w:rPr>
            <w:rStyle w:val="Hipervnculo"/>
            <w:noProof/>
            <w:color w:val="auto"/>
          </w:rPr>
          <w:t>4.1. Análisis del Gasto según Clasificación Económica y por Objeto</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_Toc98777234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7</w:t>
        </w:r>
        <w:r w:rsidR="00A810D9" w:rsidRPr="00412BC3">
          <w:rPr>
            <w:noProof/>
            <w:webHidden/>
            <w:color w:val="auto"/>
          </w:rPr>
          <w:fldChar w:fldCharType="end"/>
        </w:r>
      </w:hyperlink>
    </w:p>
    <w:p w:rsidR="00A810D9" w:rsidRPr="00412BC3" w:rsidRDefault="009B4274">
      <w:pPr>
        <w:pStyle w:val="TDC3"/>
        <w:rPr>
          <w:rFonts w:asciiTheme="minorHAnsi" w:eastAsiaTheme="minorEastAsia" w:hAnsiTheme="minorHAnsi" w:cstheme="minorBidi"/>
          <w:b w:val="0"/>
          <w:noProof/>
          <w:color w:val="auto"/>
          <w:kern w:val="0"/>
          <w:sz w:val="22"/>
          <w:szCs w:val="22"/>
          <w:lang w:val="es-AR" w:eastAsia="es-AR"/>
        </w:rPr>
      </w:pPr>
      <w:hyperlink w:anchor="_Toc98777235" w:history="1">
        <w:r w:rsidR="00A810D9" w:rsidRPr="00412BC3">
          <w:rPr>
            <w:rStyle w:val="Hipervnculo"/>
            <w:noProof/>
            <w:color w:val="auto"/>
          </w:rPr>
          <w:t>4.2. Análisis del Gasto según Clasificación por Finalidad y Función</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_Toc98777235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11</w:t>
        </w:r>
        <w:r w:rsidR="00A810D9" w:rsidRPr="00412BC3">
          <w:rPr>
            <w:noProof/>
            <w:webHidden/>
            <w:color w:val="auto"/>
          </w:rPr>
          <w:fldChar w:fldCharType="end"/>
        </w:r>
      </w:hyperlink>
    </w:p>
    <w:p w:rsidR="00A810D9" w:rsidRPr="00412BC3" w:rsidRDefault="009B4274">
      <w:pPr>
        <w:pStyle w:val="TDC1"/>
        <w:rPr>
          <w:rFonts w:asciiTheme="minorHAnsi" w:eastAsiaTheme="minorEastAsia" w:hAnsiTheme="minorHAnsi" w:cstheme="minorBidi"/>
          <w:b w:val="0"/>
          <w:bCs w:val="0"/>
          <w:caps w:val="0"/>
          <w:noProof/>
          <w:color w:val="auto"/>
          <w:sz w:val="22"/>
          <w:szCs w:val="22"/>
          <w:lang w:val="es-AR" w:eastAsia="es-AR"/>
        </w:rPr>
      </w:pPr>
      <w:hyperlink w:anchor="_Toc98777236" w:history="1">
        <w:r w:rsidR="00A810D9" w:rsidRPr="00412BC3">
          <w:rPr>
            <w:rStyle w:val="Hipervnculo"/>
            <w:noProof/>
            <w:color w:val="auto"/>
          </w:rPr>
          <w:t>ANEXO: Esquema AIF</w:t>
        </w:r>
        <w:r w:rsidR="00A810D9" w:rsidRPr="00412BC3">
          <w:rPr>
            <w:noProof/>
            <w:webHidden/>
            <w:color w:val="auto"/>
          </w:rPr>
          <w:tab/>
        </w:r>
        <w:r w:rsidR="00A810D9" w:rsidRPr="00412BC3">
          <w:rPr>
            <w:noProof/>
            <w:webHidden/>
            <w:color w:val="auto"/>
          </w:rPr>
          <w:fldChar w:fldCharType="begin"/>
        </w:r>
        <w:r w:rsidR="00A810D9" w:rsidRPr="00412BC3">
          <w:rPr>
            <w:noProof/>
            <w:webHidden/>
            <w:color w:val="auto"/>
          </w:rPr>
          <w:instrText xml:space="preserve"> PAGEREF _Toc98777236 \h </w:instrText>
        </w:r>
        <w:r w:rsidR="00A810D9" w:rsidRPr="00412BC3">
          <w:rPr>
            <w:noProof/>
            <w:webHidden/>
            <w:color w:val="auto"/>
          </w:rPr>
        </w:r>
        <w:r w:rsidR="00A810D9" w:rsidRPr="00412BC3">
          <w:rPr>
            <w:noProof/>
            <w:webHidden/>
            <w:color w:val="auto"/>
          </w:rPr>
          <w:fldChar w:fldCharType="separate"/>
        </w:r>
        <w:r w:rsidR="00953115">
          <w:rPr>
            <w:noProof/>
            <w:webHidden/>
            <w:color w:val="auto"/>
          </w:rPr>
          <w:t>14</w:t>
        </w:r>
        <w:r w:rsidR="00A810D9" w:rsidRPr="00412BC3">
          <w:rPr>
            <w:noProof/>
            <w:webHidden/>
            <w:color w:val="auto"/>
          </w:rPr>
          <w:fldChar w:fldCharType="end"/>
        </w:r>
      </w:hyperlink>
    </w:p>
    <w:p w:rsidR="0012107C" w:rsidRPr="00412BC3" w:rsidRDefault="0012107C" w:rsidP="00E6136A">
      <w:pPr>
        <w:pStyle w:val="TDC1"/>
        <w:rPr>
          <w:color w:val="auto"/>
        </w:rPr>
      </w:pPr>
      <w:r w:rsidRPr="00412BC3">
        <w:rPr>
          <w:noProof/>
          <w:color w:val="auto"/>
        </w:rPr>
        <w:fldChar w:fldCharType="end"/>
      </w:r>
    </w:p>
    <w:p w:rsidR="0012107C" w:rsidRPr="00412BC3" w:rsidRDefault="0012107C" w:rsidP="00F0092E">
      <w:pPr>
        <w:tabs>
          <w:tab w:val="right" w:leader="underscore" w:pos="8647"/>
        </w:tabs>
        <w:suppressAutoHyphens/>
        <w:spacing w:before="240" w:after="240" w:line="480" w:lineRule="auto"/>
        <w:ind w:right="-142"/>
        <w:jc w:val="center"/>
        <w:rPr>
          <w:rFonts w:ascii="Trebuchet MS" w:hAnsi="Trebuchet MS"/>
          <w:b/>
          <w:sz w:val="28"/>
          <w:szCs w:val="28"/>
          <w:u w:val="single"/>
        </w:rPr>
        <w:sectPr w:rsidR="0012107C" w:rsidRPr="00412BC3" w:rsidSect="00B64D16">
          <w:pgSz w:w="11907" w:h="16839" w:code="9"/>
          <w:pgMar w:top="1417" w:right="1559" w:bottom="1417" w:left="1701" w:header="567" w:footer="567" w:gutter="0"/>
          <w:pgNumType w:start="1"/>
          <w:cols w:space="708"/>
          <w:titlePg/>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 w:name="_Toc532576015"/>
      <w:bookmarkStart w:id="2" w:name="_Toc532576461"/>
      <w:bookmarkStart w:id="3" w:name="_Toc532576662"/>
      <w:bookmarkStart w:id="4" w:name="_Toc98777230"/>
      <w:r w:rsidRPr="002F6510">
        <w:rPr>
          <w:rFonts w:ascii="Calibri" w:hAnsi="Calibri" w:cs="Times New Roman"/>
          <w:color w:val="595959"/>
          <w:sz w:val="28"/>
          <w:szCs w:val="28"/>
        </w:rPr>
        <w:lastRenderedPageBreak/>
        <w:t>1. INTRODUCCIÓN</w:t>
      </w:r>
      <w:bookmarkEnd w:id="1"/>
      <w:bookmarkEnd w:id="2"/>
      <w:bookmarkEnd w:id="3"/>
      <w:bookmarkEnd w:id="4"/>
    </w:p>
    <w:p w:rsidR="0012107C" w:rsidRPr="00372FA0" w:rsidRDefault="0012107C" w:rsidP="003E7251">
      <w:pPr>
        <w:pBdr>
          <w:top w:val="single" w:sz="4" w:space="1" w:color="auto"/>
        </w:pBdr>
        <w:suppressAutoHyphens/>
        <w:ind w:right="142"/>
        <w:jc w:val="both"/>
        <w:rPr>
          <w:rFonts w:ascii="Calibri" w:hAnsi="Calibri"/>
          <w:b/>
        </w:rPr>
      </w:pPr>
    </w:p>
    <w:p w:rsidR="0012107C" w:rsidRPr="004E2D93" w:rsidRDefault="0012107C" w:rsidP="00B64D16">
      <w:pPr>
        <w:suppressAutoHyphens/>
        <w:ind w:right="142"/>
        <w:jc w:val="both"/>
        <w:rPr>
          <w:rFonts w:ascii="Calibri" w:hAnsi="Calibri"/>
        </w:rPr>
      </w:pPr>
      <w:bookmarkStart w:id="5" w:name="_Toc306295168"/>
      <w:r w:rsidRPr="004E2D93">
        <w:rPr>
          <w:rFonts w:ascii="Calibri" w:hAnsi="Calibri"/>
        </w:rPr>
        <w:t>En el presente informe se efectúa un breve análisis fiscal de la ejecución presupuestaria acumulada al segundo trimestre de 20</w:t>
      </w:r>
      <w:r w:rsidR="00D342BB">
        <w:rPr>
          <w:rFonts w:ascii="Calibri" w:hAnsi="Calibri"/>
        </w:rPr>
        <w:t>20</w:t>
      </w:r>
      <w:r w:rsidRPr="004E2D93">
        <w:rPr>
          <w:rFonts w:ascii="Calibri" w:hAnsi="Calibri"/>
        </w:rPr>
        <w:t>, para el consolidado de las 23 jurisdicciones provinciales y la Ciudad Autónoma de Buenos Aires</w:t>
      </w:r>
      <w:r w:rsidRPr="004E2D93">
        <w:rPr>
          <w:rStyle w:val="Refdenotaalpie"/>
          <w:rFonts w:ascii="Calibri" w:hAnsi="Calibri"/>
        </w:rPr>
        <w:footnoteReference w:id="1"/>
      </w:r>
      <w:r w:rsidRPr="004E2D93">
        <w:rPr>
          <w:rFonts w:ascii="Calibri" w:hAnsi="Calibri"/>
        </w:rPr>
        <w:t>. El universo institucional comprendido es la Administración Pública no Financiera (APNF), que está integrada por la Administración Central, los Organismos Descentralizados, los Fondos Fiduciarios, Cuentas Especiales y las Instituciones de la Seguridad Social.</w:t>
      </w:r>
    </w:p>
    <w:p w:rsidR="0012107C" w:rsidRPr="004E2D93" w:rsidRDefault="0012107C" w:rsidP="00B64D16">
      <w:pPr>
        <w:suppressAutoHyphens/>
        <w:ind w:right="142"/>
        <w:jc w:val="both"/>
        <w:rPr>
          <w:rFonts w:ascii="Calibri" w:hAnsi="Calibri"/>
        </w:rPr>
      </w:pPr>
    </w:p>
    <w:p w:rsidR="0012107C" w:rsidRPr="004E2D93" w:rsidRDefault="0012107C" w:rsidP="00B64D16">
      <w:pPr>
        <w:suppressAutoHyphens/>
        <w:ind w:right="142"/>
        <w:jc w:val="both"/>
        <w:rPr>
          <w:rFonts w:ascii="Calibri" w:hAnsi="Calibri"/>
        </w:rPr>
      </w:pPr>
      <w:r w:rsidRPr="004E2D93">
        <w:rPr>
          <w:rFonts w:ascii="Calibri" w:hAnsi="Calibri"/>
        </w:rPr>
        <w:t>El informe analiza la evolución de los principales agregados fiscales del esquema Ahorro-Inversión-Financiamiento (AIF) en términos comparativos respecto de la ejecución presupuestaria acumulada al segundo trimestre de 201</w:t>
      </w:r>
      <w:r w:rsidR="00D342BB">
        <w:rPr>
          <w:rFonts w:ascii="Calibri" w:hAnsi="Calibri"/>
        </w:rPr>
        <w:t>9</w:t>
      </w:r>
      <w:r w:rsidRPr="004E2D93">
        <w:rPr>
          <w:rFonts w:ascii="Calibri" w:hAnsi="Calibri"/>
        </w:rPr>
        <w:t>. A tal fin, se distinguen como ejes de interés los ingresos, los gastos y resultados económico, financiero y primario del consolidado de 24 jurisdicciones.</w:t>
      </w:r>
    </w:p>
    <w:p w:rsidR="0012107C" w:rsidRPr="004E2D93" w:rsidRDefault="0012107C" w:rsidP="00B64D16">
      <w:pPr>
        <w:suppressAutoHyphens/>
        <w:ind w:right="142"/>
        <w:jc w:val="both"/>
        <w:rPr>
          <w:rFonts w:ascii="Calibri" w:hAnsi="Calibri"/>
        </w:rPr>
      </w:pPr>
    </w:p>
    <w:p w:rsidR="0012107C" w:rsidRPr="004E2D93" w:rsidRDefault="0012107C" w:rsidP="00B64D16">
      <w:pPr>
        <w:suppressAutoHyphens/>
        <w:ind w:right="142"/>
        <w:jc w:val="both"/>
        <w:rPr>
          <w:rFonts w:ascii="Calibri" w:hAnsi="Calibri"/>
        </w:rPr>
      </w:pPr>
      <w:r w:rsidRPr="004E2D93">
        <w:rPr>
          <w:rFonts w:ascii="Calibri" w:hAnsi="Calibri"/>
        </w:rPr>
        <w:t>Respecto a los Recursos, se consideran en primer término los senderos de expansión de los ingresos Corrientes y de Capital y a continuación se examinan los conceptos agregados de cada ítem.</w:t>
      </w:r>
    </w:p>
    <w:p w:rsidR="0012107C" w:rsidRPr="004E2D93" w:rsidRDefault="0012107C" w:rsidP="00B64D16">
      <w:pPr>
        <w:suppressAutoHyphens/>
        <w:ind w:right="142"/>
        <w:jc w:val="both"/>
        <w:rPr>
          <w:rFonts w:ascii="Calibri" w:hAnsi="Calibri"/>
        </w:rPr>
      </w:pPr>
    </w:p>
    <w:p w:rsidR="0012107C" w:rsidRPr="004E2D93" w:rsidRDefault="0012107C" w:rsidP="00B64D16">
      <w:pPr>
        <w:suppressAutoHyphens/>
        <w:ind w:right="142"/>
        <w:jc w:val="both"/>
        <w:rPr>
          <w:rFonts w:ascii="Calibri" w:hAnsi="Calibri"/>
        </w:rPr>
      </w:pPr>
      <w:r w:rsidRPr="004E2D93">
        <w:rPr>
          <w:rFonts w:ascii="Calibri" w:hAnsi="Calibri"/>
        </w:rPr>
        <w:t>En el caso de los ingresos Corrientes se menciona la evolución de los recursos Tributarios (de origen Provincial y Nacional), los No Tributarios, las transferencias Corrientes y las Contribuciones de la Seguridad Social.</w:t>
      </w:r>
    </w:p>
    <w:p w:rsidR="0012107C" w:rsidRPr="004E2D93" w:rsidRDefault="0012107C" w:rsidP="00B64D16">
      <w:pPr>
        <w:suppressAutoHyphens/>
        <w:ind w:right="142"/>
        <w:jc w:val="both"/>
        <w:rPr>
          <w:rFonts w:ascii="Calibri" w:hAnsi="Calibri"/>
        </w:rPr>
      </w:pPr>
    </w:p>
    <w:p w:rsidR="0012107C" w:rsidRPr="004E2D93" w:rsidRDefault="0012107C" w:rsidP="00B64D16">
      <w:pPr>
        <w:suppressAutoHyphens/>
        <w:ind w:right="142"/>
        <w:jc w:val="both"/>
        <w:rPr>
          <w:rFonts w:ascii="Calibri" w:hAnsi="Calibri"/>
        </w:rPr>
      </w:pPr>
      <w:r w:rsidRPr="004E2D93">
        <w:rPr>
          <w:rFonts w:ascii="Calibri" w:hAnsi="Calibri"/>
        </w:rPr>
        <w:t>Por su parte, en los ingresos de Capital se hace referencia a las transferencias de Capital, los Recursos Propios y la Disminución de la Inversión Financiera.</w:t>
      </w:r>
    </w:p>
    <w:p w:rsidR="0012107C" w:rsidRPr="00F378FC" w:rsidRDefault="0012107C" w:rsidP="00B64D16">
      <w:pPr>
        <w:suppressAutoHyphens/>
        <w:ind w:right="142"/>
        <w:jc w:val="both"/>
        <w:rPr>
          <w:rFonts w:ascii="Calibri" w:hAnsi="Calibri"/>
          <w:highlight w:val="yellow"/>
        </w:rPr>
      </w:pPr>
    </w:p>
    <w:p w:rsidR="0012107C" w:rsidRPr="004E2D93" w:rsidRDefault="0012107C" w:rsidP="00B64D16">
      <w:pPr>
        <w:suppressAutoHyphens/>
        <w:ind w:right="142"/>
        <w:jc w:val="both"/>
        <w:rPr>
          <w:rFonts w:ascii="Calibri" w:hAnsi="Calibri"/>
        </w:rPr>
      </w:pPr>
      <w:r w:rsidRPr="004E2D93">
        <w:rPr>
          <w:rFonts w:ascii="Calibri" w:hAnsi="Calibri"/>
        </w:rPr>
        <w:t>En cuanto al Gasto Público Provincial, se consideran dos perspectivas según la clasificación presupuestaria. La clasificación Económica y por Objeto, que permite apreciar la naturaleza económica y el orden analítico del gasto y la clasificación por Finalidad y Función, que muestra la naturaleza de los servicios que brindan las administraciones gubernamentales de las jurisdicciones a la comunidad.</w:t>
      </w:r>
    </w:p>
    <w:p w:rsidR="0012107C" w:rsidRPr="004E2D93" w:rsidRDefault="0012107C" w:rsidP="00B64D16">
      <w:pPr>
        <w:suppressAutoHyphens/>
        <w:ind w:right="142"/>
        <w:jc w:val="both"/>
        <w:rPr>
          <w:rFonts w:ascii="Calibri" w:hAnsi="Calibri"/>
        </w:rPr>
      </w:pPr>
    </w:p>
    <w:p w:rsidR="0012107C" w:rsidRPr="004E2D93" w:rsidRDefault="0012107C" w:rsidP="00F159E0">
      <w:pPr>
        <w:suppressAutoHyphens/>
        <w:ind w:right="142"/>
        <w:jc w:val="both"/>
        <w:rPr>
          <w:rFonts w:ascii="Calibri" w:hAnsi="Calibri"/>
        </w:rPr>
      </w:pPr>
      <w:r w:rsidRPr="004E2D93">
        <w:rPr>
          <w:rFonts w:ascii="Calibri" w:hAnsi="Calibri"/>
        </w:rPr>
        <w:t>Se adjunta a este informe un esquema Ahorro-Inversión-Financiamiento con la información del primer y segundo trimestres de 20</w:t>
      </w:r>
      <w:r w:rsidR="00D342BB">
        <w:rPr>
          <w:rFonts w:ascii="Calibri" w:hAnsi="Calibri"/>
        </w:rPr>
        <w:t>20</w:t>
      </w:r>
      <w:r w:rsidRPr="004E2D93">
        <w:rPr>
          <w:rFonts w:ascii="Calibri" w:hAnsi="Calibri"/>
        </w:rPr>
        <w:t xml:space="preserve"> más el correspondiente acumulado al primer semestre de dicho ejercicio, del Consolidado de 24 Jurisdicciones. Una información más detallada de las ejecuciones presupuestarias, puede ser consultada en la página Web:</w:t>
      </w:r>
    </w:p>
    <w:p w:rsidR="0012107C" w:rsidRDefault="0012107C" w:rsidP="007A20C7">
      <w:pPr>
        <w:suppressAutoHyphens/>
        <w:ind w:right="142"/>
        <w:rPr>
          <w:rFonts w:ascii="Calibri" w:hAnsi="Calibri"/>
        </w:rPr>
      </w:pPr>
      <w:r w:rsidRPr="004E2D93">
        <w:rPr>
          <w:rFonts w:ascii="Calibri" w:hAnsi="Calibri"/>
        </w:rPr>
        <w:t>http://www2.mecon.gov.ar/hacienda/dncfp/provincial/info_presupuestaria.php</w:t>
      </w:r>
    </w:p>
    <w:p w:rsidR="0012107C" w:rsidRPr="00D64398" w:rsidRDefault="0012107C" w:rsidP="00F159E0">
      <w:pPr>
        <w:suppressAutoHyphens/>
        <w:ind w:right="142"/>
        <w:jc w:val="both"/>
        <w:rPr>
          <w:rFonts w:ascii="Calibri" w:hAnsi="Calibri"/>
        </w:rPr>
        <w:sectPr w:rsidR="0012107C" w:rsidRPr="00D64398" w:rsidSect="00F159E0">
          <w:pgSz w:w="11907" w:h="16839" w:code="9"/>
          <w:pgMar w:top="1417" w:right="1134" w:bottom="1417" w:left="1134" w:header="567" w:footer="567" w:gutter="0"/>
          <w:pgNumType w:start="2"/>
          <w:cols w:space="708"/>
          <w:rtlGutter/>
          <w:docGrid w:linePitch="360"/>
        </w:sect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7" w:name="_Toc532576016"/>
      <w:bookmarkStart w:id="8" w:name="_Toc532576462"/>
      <w:bookmarkStart w:id="9" w:name="_Toc532576663"/>
      <w:bookmarkStart w:id="10" w:name="_Toc98777231"/>
      <w:bookmarkEnd w:id="5"/>
      <w:r w:rsidRPr="002F6510">
        <w:rPr>
          <w:rFonts w:ascii="Calibri" w:hAnsi="Calibri" w:cs="Times New Roman"/>
          <w:color w:val="595959"/>
          <w:sz w:val="28"/>
          <w:szCs w:val="28"/>
        </w:rPr>
        <w:lastRenderedPageBreak/>
        <w:t>2. RESULTADOS FISCALES</w:t>
      </w:r>
      <w:bookmarkEnd w:id="7"/>
      <w:bookmarkEnd w:id="8"/>
      <w:bookmarkEnd w:id="9"/>
      <w:bookmarkEnd w:id="10"/>
    </w:p>
    <w:p w:rsidR="0012107C" w:rsidRDefault="0012107C" w:rsidP="009D5F8A">
      <w:pPr>
        <w:pBdr>
          <w:top w:val="single" w:sz="4" w:space="1" w:color="auto"/>
        </w:pBdr>
        <w:suppressAutoHyphens/>
        <w:jc w:val="both"/>
        <w:rPr>
          <w:rFonts w:ascii="Calibri" w:hAnsi="Calibri"/>
          <w:highlight w:val="yellow"/>
        </w:rPr>
      </w:pPr>
    </w:p>
    <w:p w:rsidR="0012107C" w:rsidRPr="00D67787" w:rsidRDefault="00E057EC" w:rsidP="00D951D3">
      <w:pPr>
        <w:suppressAutoHyphens/>
        <w:jc w:val="both"/>
        <w:rPr>
          <w:rFonts w:ascii="Calibri" w:hAnsi="Calibri"/>
        </w:rPr>
      </w:pPr>
      <w:r w:rsidRPr="00D67787">
        <w:rPr>
          <w:rFonts w:ascii="Calibri" w:hAnsi="Calibri"/>
        </w:rPr>
        <w:t>En el primer semestre de 2020</w:t>
      </w:r>
      <w:r w:rsidR="0012107C" w:rsidRPr="00D67787">
        <w:rPr>
          <w:rFonts w:ascii="Calibri" w:hAnsi="Calibri"/>
        </w:rPr>
        <w:t xml:space="preserve"> se observa </w:t>
      </w:r>
      <w:r w:rsidRPr="00D67787">
        <w:rPr>
          <w:rFonts w:ascii="Calibri" w:hAnsi="Calibri"/>
        </w:rPr>
        <w:t>una mejora sustantiva</w:t>
      </w:r>
      <w:r w:rsidR="0012107C" w:rsidRPr="00D67787">
        <w:rPr>
          <w:rFonts w:ascii="Calibri" w:hAnsi="Calibri"/>
        </w:rPr>
        <w:t xml:space="preserve"> del resultado financiero para el conjunto de las jurisdicciones, </w:t>
      </w:r>
      <w:r w:rsidRPr="00D67787">
        <w:rPr>
          <w:rFonts w:ascii="Calibri" w:hAnsi="Calibri"/>
        </w:rPr>
        <w:t>producto de una reversión del signo deficitario registrado en idéntico período del año anterior. Esta situación responde a una mayor</w:t>
      </w:r>
      <w:r w:rsidR="0012107C" w:rsidRPr="00D67787">
        <w:rPr>
          <w:rFonts w:ascii="Calibri" w:hAnsi="Calibri"/>
        </w:rPr>
        <w:t xml:space="preserve"> alza interanual de los </w:t>
      </w:r>
      <w:r w:rsidRPr="00D67787">
        <w:rPr>
          <w:rFonts w:ascii="Calibri" w:hAnsi="Calibri"/>
        </w:rPr>
        <w:t>recursos (33,1</w:t>
      </w:r>
      <w:r w:rsidR="00953115">
        <w:rPr>
          <w:rFonts w:ascii="Calibri" w:hAnsi="Calibri"/>
        </w:rPr>
        <w:t>%</w:t>
      </w:r>
      <w:r w:rsidRPr="00D67787">
        <w:rPr>
          <w:rFonts w:ascii="Calibri" w:hAnsi="Calibri"/>
        </w:rPr>
        <w:t xml:space="preserve">) respecto de los </w:t>
      </w:r>
      <w:r w:rsidR="0012107C" w:rsidRPr="00D67787">
        <w:rPr>
          <w:rFonts w:ascii="Calibri" w:hAnsi="Calibri"/>
        </w:rPr>
        <w:t xml:space="preserve">gastos totales </w:t>
      </w:r>
      <w:r w:rsidRPr="00D67787">
        <w:rPr>
          <w:rFonts w:ascii="Calibri" w:hAnsi="Calibri"/>
        </w:rPr>
        <w:t>(30,4</w:t>
      </w:r>
      <w:r w:rsidR="00953115">
        <w:rPr>
          <w:rFonts w:ascii="Calibri" w:hAnsi="Calibri"/>
        </w:rPr>
        <w:t>%</w:t>
      </w:r>
      <w:r w:rsidRPr="00D67787">
        <w:rPr>
          <w:rFonts w:ascii="Calibri" w:hAnsi="Calibri"/>
        </w:rPr>
        <w:t>)</w:t>
      </w:r>
      <w:r w:rsidR="0012107C" w:rsidRPr="00D67787">
        <w:rPr>
          <w:rFonts w:ascii="Calibri" w:hAnsi="Calibri"/>
        </w:rPr>
        <w:t>, tal cual se muestra en el Cuadro 1.</w:t>
      </w:r>
    </w:p>
    <w:p w:rsidR="0012107C" w:rsidRPr="00D67787" w:rsidRDefault="0012107C" w:rsidP="00D951D3">
      <w:pPr>
        <w:suppressAutoHyphens/>
        <w:jc w:val="both"/>
        <w:rPr>
          <w:rFonts w:ascii="Calibri" w:hAnsi="Calibri"/>
        </w:rPr>
      </w:pPr>
    </w:p>
    <w:p w:rsidR="00D67787" w:rsidRPr="00D67787" w:rsidRDefault="0012107C" w:rsidP="00D67787">
      <w:pPr>
        <w:suppressAutoHyphens/>
        <w:jc w:val="both"/>
        <w:rPr>
          <w:rFonts w:ascii="Calibri" w:hAnsi="Calibri"/>
        </w:rPr>
      </w:pPr>
      <w:r w:rsidRPr="00D67787">
        <w:rPr>
          <w:rFonts w:ascii="Calibri" w:hAnsi="Calibri"/>
        </w:rPr>
        <w:t xml:space="preserve">Los gastos primarios tienen un aumento de </w:t>
      </w:r>
      <w:r w:rsidR="00E057EC" w:rsidRPr="00D67787">
        <w:rPr>
          <w:rFonts w:ascii="Calibri" w:hAnsi="Calibri"/>
        </w:rPr>
        <w:t>31,9</w:t>
      </w:r>
      <w:r w:rsidR="00953115">
        <w:rPr>
          <w:rFonts w:ascii="Calibri" w:hAnsi="Calibri"/>
        </w:rPr>
        <w:t>%</w:t>
      </w:r>
      <w:r w:rsidRPr="00D67787">
        <w:rPr>
          <w:rFonts w:ascii="Calibri" w:hAnsi="Calibri"/>
        </w:rPr>
        <w:t xml:space="preserve">, </w:t>
      </w:r>
      <w:r w:rsidR="00E057EC" w:rsidRPr="00D67787">
        <w:rPr>
          <w:rFonts w:ascii="Calibri" w:hAnsi="Calibri"/>
        </w:rPr>
        <w:t>superando en ese sentido la variación de</w:t>
      </w:r>
      <w:r w:rsidRPr="00D67787">
        <w:rPr>
          <w:rFonts w:ascii="Calibri" w:hAnsi="Calibri"/>
        </w:rPr>
        <w:t xml:space="preserve"> los egresos totales. </w:t>
      </w:r>
      <w:r w:rsidR="00D67787" w:rsidRPr="00D67787">
        <w:rPr>
          <w:rFonts w:ascii="Calibri" w:hAnsi="Calibri"/>
        </w:rPr>
        <w:t>De todos modos</w:t>
      </w:r>
      <w:r w:rsidRPr="00D67787">
        <w:rPr>
          <w:rFonts w:ascii="Calibri" w:hAnsi="Calibri"/>
        </w:rPr>
        <w:t xml:space="preserve">, </w:t>
      </w:r>
      <w:r w:rsidR="00D67787" w:rsidRPr="00D67787">
        <w:rPr>
          <w:rFonts w:ascii="Calibri" w:hAnsi="Calibri"/>
        </w:rPr>
        <w:t>la mayor variación de los recursos permite a</w:t>
      </w:r>
      <w:r w:rsidRPr="00D67787">
        <w:rPr>
          <w:rFonts w:ascii="Calibri" w:hAnsi="Calibri"/>
        </w:rPr>
        <w:t xml:space="preserve">l Resultado Primario </w:t>
      </w:r>
      <w:r w:rsidR="00D67787" w:rsidRPr="00D67787">
        <w:rPr>
          <w:rFonts w:ascii="Calibri" w:hAnsi="Calibri"/>
        </w:rPr>
        <w:t>exhibir un incremento de 60,7</w:t>
      </w:r>
      <w:r w:rsidR="00953115">
        <w:rPr>
          <w:rFonts w:ascii="Calibri" w:hAnsi="Calibri"/>
        </w:rPr>
        <w:t>%</w:t>
      </w:r>
      <w:r w:rsidR="00D67787" w:rsidRPr="00D67787">
        <w:rPr>
          <w:rFonts w:ascii="Calibri" w:hAnsi="Calibri"/>
        </w:rPr>
        <w:t xml:space="preserve"> </w:t>
      </w:r>
      <w:r w:rsidRPr="00D67787">
        <w:rPr>
          <w:rFonts w:ascii="Calibri" w:hAnsi="Calibri"/>
        </w:rPr>
        <w:t>en el primer semestre de 20</w:t>
      </w:r>
      <w:r w:rsidR="00D67787" w:rsidRPr="00D67787">
        <w:rPr>
          <w:rFonts w:ascii="Calibri" w:hAnsi="Calibri"/>
        </w:rPr>
        <w:t>20</w:t>
      </w:r>
      <w:r w:rsidRPr="00D67787">
        <w:rPr>
          <w:rFonts w:ascii="Calibri" w:hAnsi="Calibri"/>
        </w:rPr>
        <w:t xml:space="preserve"> respecto del observado en igual período de 201</w:t>
      </w:r>
      <w:r w:rsidR="00D67787" w:rsidRPr="00D67787">
        <w:rPr>
          <w:rFonts w:ascii="Calibri" w:hAnsi="Calibri"/>
        </w:rPr>
        <w:t>9</w:t>
      </w:r>
      <w:r w:rsidRPr="00D67787">
        <w:rPr>
          <w:rFonts w:ascii="Calibri" w:hAnsi="Calibri"/>
        </w:rPr>
        <w:t>.</w:t>
      </w:r>
      <w:r w:rsidR="00D67787" w:rsidRPr="00D67787">
        <w:rPr>
          <w:rFonts w:ascii="Calibri" w:hAnsi="Calibri"/>
        </w:rPr>
        <w:t xml:space="preserve"> No obstante ello, el incremento del Superávit Económico resulta de sólo 11,1</w:t>
      </w:r>
      <w:r w:rsidR="00953115">
        <w:rPr>
          <w:rFonts w:ascii="Calibri" w:hAnsi="Calibri"/>
        </w:rPr>
        <w:t>%</w:t>
      </w:r>
      <w:r w:rsidR="00D67787" w:rsidRPr="00D67787">
        <w:rPr>
          <w:rFonts w:ascii="Calibri" w:hAnsi="Calibri"/>
        </w:rPr>
        <w:t xml:space="preserve"> respecto del observado en el primer semestre de 2019.</w:t>
      </w:r>
    </w:p>
    <w:p w:rsidR="0012107C" w:rsidRPr="00D67787" w:rsidRDefault="0012107C" w:rsidP="00D951D3">
      <w:pPr>
        <w:suppressAutoHyphens/>
        <w:jc w:val="both"/>
        <w:rPr>
          <w:rFonts w:ascii="Calibri" w:hAnsi="Calibri"/>
        </w:rPr>
      </w:pPr>
    </w:p>
    <w:p w:rsidR="0012107C" w:rsidRPr="003E739A" w:rsidRDefault="00D67787" w:rsidP="00D951D3">
      <w:pPr>
        <w:suppressAutoHyphens/>
        <w:jc w:val="both"/>
        <w:rPr>
          <w:rFonts w:ascii="Calibri" w:hAnsi="Calibri"/>
        </w:rPr>
      </w:pPr>
      <w:r w:rsidRPr="00D67787">
        <w:rPr>
          <w:rFonts w:ascii="Calibri" w:hAnsi="Calibri"/>
        </w:rPr>
        <w:t>Dada la mejora en el Resultado Primario, y al permanecer prácticamente constante el pago de intereses de la deuda</w:t>
      </w:r>
      <w:r w:rsidR="0012107C" w:rsidRPr="00D67787">
        <w:rPr>
          <w:rFonts w:ascii="Calibri" w:hAnsi="Calibri"/>
        </w:rPr>
        <w:t>, el Resultado Financiero del primer semestre de 20</w:t>
      </w:r>
      <w:r w:rsidRPr="00D67787">
        <w:rPr>
          <w:rFonts w:ascii="Calibri" w:hAnsi="Calibri"/>
        </w:rPr>
        <w:t>20</w:t>
      </w:r>
      <w:r w:rsidR="0012107C" w:rsidRPr="00D67787">
        <w:rPr>
          <w:rFonts w:ascii="Calibri" w:hAnsi="Calibri"/>
        </w:rPr>
        <w:t xml:space="preserve"> concluye con </w:t>
      </w:r>
      <w:r w:rsidRPr="00D67787">
        <w:rPr>
          <w:rFonts w:ascii="Calibri" w:hAnsi="Calibri"/>
        </w:rPr>
        <w:t>l</w:t>
      </w:r>
      <w:r w:rsidR="0012107C" w:rsidRPr="00D67787">
        <w:rPr>
          <w:rFonts w:ascii="Calibri" w:hAnsi="Calibri"/>
        </w:rPr>
        <w:t xml:space="preserve">a reversión del </w:t>
      </w:r>
      <w:r w:rsidRPr="00D67787">
        <w:rPr>
          <w:rFonts w:ascii="Calibri" w:hAnsi="Calibri"/>
        </w:rPr>
        <w:t>déficit</w:t>
      </w:r>
      <w:r w:rsidR="0012107C" w:rsidRPr="00D67787">
        <w:rPr>
          <w:rFonts w:ascii="Calibri" w:hAnsi="Calibri"/>
        </w:rPr>
        <w:t xml:space="preserve"> </w:t>
      </w:r>
      <w:r w:rsidRPr="00D67787">
        <w:rPr>
          <w:rFonts w:ascii="Calibri" w:hAnsi="Calibri"/>
        </w:rPr>
        <w:t>ya mencionado</w:t>
      </w:r>
      <w:r w:rsidR="0012107C" w:rsidRPr="00D67787">
        <w:rPr>
          <w:rFonts w:ascii="Calibri" w:hAnsi="Calibri"/>
        </w:rPr>
        <w:t>.</w:t>
      </w:r>
    </w:p>
    <w:p w:rsidR="0012107C" w:rsidRPr="003E739A" w:rsidRDefault="0012107C" w:rsidP="00A2150E">
      <w:pPr>
        <w:suppressAutoHyphens/>
        <w:jc w:val="both"/>
        <w:rPr>
          <w:rFonts w:ascii="Calibri" w:hAnsi="Calibri"/>
        </w:rPr>
      </w:pPr>
    </w:p>
    <w:p w:rsidR="0012107C" w:rsidRDefault="0012107C" w:rsidP="00A2150E">
      <w:pPr>
        <w:suppressAutoHyphens/>
        <w:ind w:left="851" w:right="850"/>
        <w:jc w:val="center"/>
        <w:rPr>
          <w:rFonts w:ascii="Calibri" w:hAnsi="Calibri"/>
        </w:rPr>
      </w:pPr>
      <w:r w:rsidRPr="00F133D6">
        <w:rPr>
          <w:rFonts w:ascii="Calibri" w:hAnsi="Calibri"/>
          <w:b/>
        </w:rPr>
        <w:t xml:space="preserve">Cuadro </w:t>
      </w:r>
      <w:r>
        <w:rPr>
          <w:rFonts w:ascii="Calibri" w:hAnsi="Calibri"/>
          <w:b/>
        </w:rPr>
        <w:t>1</w:t>
      </w:r>
      <w:r w:rsidRPr="00F133D6">
        <w:rPr>
          <w:rFonts w:ascii="Calibri" w:hAnsi="Calibri"/>
          <w:b/>
        </w:rPr>
        <w:t>.</w:t>
      </w:r>
      <w:r w:rsidRPr="00F133D6">
        <w:rPr>
          <w:rFonts w:ascii="Calibri" w:hAnsi="Calibri"/>
        </w:rPr>
        <w:t xml:space="preserve"> </w:t>
      </w:r>
      <w:r>
        <w:rPr>
          <w:rFonts w:ascii="Calibri" w:hAnsi="Calibri"/>
        </w:rPr>
        <w:t>Principales Resultados</w:t>
      </w:r>
      <w:r w:rsidRPr="00F133D6">
        <w:rPr>
          <w:rFonts w:ascii="Calibri" w:hAnsi="Calibri"/>
        </w:rPr>
        <w:t xml:space="preserve"> de la APNF. </w:t>
      </w:r>
      <w:r>
        <w:rPr>
          <w:rFonts w:ascii="Calibri" w:hAnsi="Calibri"/>
        </w:rPr>
        <w:t>B</w:t>
      </w:r>
      <w:r w:rsidRPr="00F133D6">
        <w:rPr>
          <w:rFonts w:ascii="Calibri" w:hAnsi="Calibri"/>
        </w:rPr>
        <w:t>ase devengado</w:t>
      </w:r>
      <w:r>
        <w:rPr>
          <w:rFonts w:ascii="Calibri" w:hAnsi="Calibri"/>
        </w:rPr>
        <w:t>.</w:t>
      </w:r>
    </w:p>
    <w:p w:rsidR="0012107C" w:rsidRPr="00F133D6" w:rsidRDefault="0012107C" w:rsidP="00A2150E">
      <w:pPr>
        <w:suppressAutoHyphens/>
        <w:jc w:val="center"/>
        <w:rPr>
          <w:rFonts w:ascii="Calibri" w:hAnsi="Calibri"/>
        </w:rPr>
      </w:pPr>
      <w:r>
        <w:rPr>
          <w:rFonts w:ascii="Calibri" w:hAnsi="Calibri"/>
        </w:rPr>
        <w:t>Comparativo I Semestre 20</w:t>
      </w:r>
      <w:r w:rsidR="00D342BB">
        <w:rPr>
          <w:rFonts w:ascii="Calibri" w:hAnsi="Calibri"/>
        </w:rPr>
        <w:t>20</w:t>
      </w:r>
      <w:r>
        <w:rPr>
          <w:rFonts w:ascii="Calibri" w:hAnsi="Calibri"/>
        </w:rPr>
        <w:t>-201</w:t>
      </w:r>
      <w:r w:rsidR="00D342BB">
        <w:rPr>
          <w:rFonts w:ascii="Calibri" w:hAnsi="Calibri"/>
        </w:rPr>
        <w:t>9</w:t>
      </w:r>
    </w:p>
    <w:p w:rsidR="0012107C" w:rsidRPr="00D342BB" w:rsidRDefault="0012107C" w:rsidP="00A2150E">
      <w:pPr>
        <w:suppressAutoHyphens/>
        <w:spacing w:after="120"/>
        <w:jc w:val="center"/>
        <w:rPr>
          <w:rFonts w:ascii="Calibri" w:hAnsi="Calibri"/>
        </w:rPr>
      </w:pPr>
      <w:r w:rsidRPr="00D342BB">
        <w:rPr>
          <w:rFonts w:ascii="Calibri" w:hAnsi="Calibri"/>
        </w:rPr>
        <w:t>En millones de pesos</w:t>
      </w:r>
    </w:p>
    <w:p w:rsidR="0012107C" w:rsidRPr="00D342BB" w:rsidRDefault="009B4274" w:rsidP="00A2150E">
      <w:pPr>
        <w:suppressAutoHyphens/>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4pt;height:120.75pt">
            <v:imagedata r:id="rId11" o:title=""/>
          </v:shape>
        </w:pict>
      </w:r>
    </w:p>
    <w:p w:rsidR="0012107C" w:rsidRDefault="0012107C" w:rsidP="00A2150E">
      <w:pPr>
        <w:suppressAutoHyphens/>
        <w:ind w:left="1276"/>
        <w:jc w:val="both"/>
        <w:rPr>
          <w:rFonts w:ascii="Calibri" w:hAnsi="Calibri"/>
        </w:rPr>
      </w:pPr>
      <w:r w:rsidRPr="0014578F">
        <w:rPr>
          <w:rFonts w:ascii="Calibri" w:hAnsi="Calibri"/>
          <w:b/>
          <w:sz w:val="20"/>
          <w:szCs w:val="20"/>
        </w:rPr>
        <w:t>Fuente</w:t>
      </w:r>
      <w:r w:rsidRPr="008B2B7E">
        <w:rPr>
          <w:rFonts w:ascii="Calibri" w:hAnsi="Calibri"/>
          <w:sz w:val="20"/>
          <w:szCs w:val="20"/>
        </w:rPr>
        <w:t>:</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93539D" w:rsidRDefault="0012107C" w:rsidP="00A2150E">
      <w:pPr>
        <w:suppressAutoHyphens/>
        <w:jc w:val="both"/>
        <w:rPr>
          <w:rFonts w:ascii="Calibri" w:hAnsi="Calibri"/>
          <w:highlight w:val="yellow"/>
        </w:rPr>
      </w:pPr>
    </w:p>
    <w:p w:rsidR="0012107C" w:rsidRPr="00A2150E" w:rsidRDefault="0012107C" w:rsidP="00A2150E">
      <w:pPr>
        <w:suppressAutoHyphens/>
        <w:jc w:val="both"/>
        <w:rPr>
          <w:rFonts w:ascii="Calibri" w:hAnsi="Calibri"/>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1" w:name="_Toc98777232"/>
      <w:r w:rsidRPr="002F6510">
        <w:rPr>
          <w:rFonts w:ascii="Calibri" w:hAnsi="Calibri" w:cs="Times New Roman"/>
          <w:color w:val="595959"/>
          <w:sz w:val="28"/>
          <w:szCs w:val="28"/>
        </w:rPr>
        <w:t>3. RECURSOS</w:t>
      </w:r>
      <w:bookmarkEnd w:id="11"/>
    </w:p>
    <w:p w:rsidR="0012107C" w:rsidRDefault="0012107C" w:rsidP="009D5F8A">
      <w:pPr>
        <w:pBdr>
          <w:top w:val="single" w:sz="4" w:space="1" w:color="auto"/>
        </w:pBdr>
        <w:suppressAutoHyphens/>
        <w:jc w:val="both"/>
        <w:rPr>
          <w:rFonts w:ascii="Calibri" w:hAnsi="Calibri"/>
          <w:highlight w:val="yellow"/>
        </w:rPr>
      </w:pPr>
    </w:p>
    <w:p w:rsidR="00A810D9" w:rsidRPr="001928B4" w:rsidRDefault="00A810D9" w:rsidP="00A810D9">
      <w:pPr>
        <w:suppressAutoHyphens/>
        <w:jc w:val="both"/>
        <w:rPr>
          <w:rFonts w:ascii="Calibri" w:hAnsi="Calibri"/>
        </w:rPr>
      </w:pPr>
      <w:r w:rsidRPr="001928B4">
        <w:rPr>
          <w:rFonts w:ascii="Calibri" w:hAnsi="Calibri"/>
        </w:rPr>
        <w:t xml:space="preserve">Durante el primer semestre de 2020 el conjunto de 24 jurisdicciones percibió ingresos por un total de </w:t>
      </w:r>
      <w:r w:rsidR="00953115">
        <w:rPr>
          <w:rFonts w:ascii="Calibri" w:hAnsi="Calibri"/>
        </w:rPr>
        <w:t xml:space="preserve">$ </w:t>
      </w:r>
      <w:r w:rsidRPr="001928B4">
        <w:rPr>
          <w:rFonts w:ascii="Calibri" w:hAnsi="Calibri"/>
        </w:rPr>
        <w:t>2.111.643 millones (Cuadro 2), cuyo incremento se explica principalmente por el comportamiento de los Recursos Tributarios, que aportan 65,4% del incremento total y presentan una variación interanual positiva de 27,7%.</w:t>
      </w:r>
    </w:p>
    <w:p w:rsidR="0012107C" w:rsidRPr="00DE403C" w:rsidRDefault="0012107C" w:rsidP="00EC49F6">
      <w:pPr>
        <w:suppressAutoHyphens/>
        <w:jc w:val="both"/>
        <w:rPr>
          <w:rFonts w:ascii="Calibri" w:hAnsi="Calibri"/>
          <w:highlight w:val="yellow"/>
        </w:rPr>
      </w:pPr>
    </w:p>
    <w:p w:rsidR="00A810D9" w:rsidRPr="001928B4" w:rsidRDefault="00A810D9" w:rsidP="00A810D9">
      <w:pPr>
        <w:jc w:val="both"/>
        <w:rPr>
          <w:rFonts w:ascii="Calibri" w:hAnsi="Calibri"/>
        </w:rPr>
      </w:pPr>
      <w:r w:rsidRPr="001928B4">
        <w:rPr>
          <w:rFonts w:ascii="Calibri" w:hAnsi="Calibri"/>
        </w:rPr>
        <w:t xml:space="preserve">Los </w:t>
      </w:r>
      <w:r>
        <w:rPr>
          <w:rFonts w:ascii="Calibri" w:hAnsi="Calibri"/>
        </w:rPr>
        <w:t>R</w:t>
      </w:r>
      <w:r w:rsidRPr="001928B4">
        <w:rPr>
          <w:rFonts w:ascii="Calibri" w:hAnsi="Calibri"/>
        </w:rPr>
        <w:t xml:space="preserve">ecursos de </w:t>
      </w:r>
      <w:r>
        <w:rPr>
          <w:rFonts w:ascii="Calibri" w:hAnsi="Calibri"/>
        </w:rPr>
        <w:t>O</w:t>
      </w:r>
      <w:r w:rsidRPr="001928B4">
        <w:rPr>
          <w:rFonts w:ascii="Calibri" w:hAnsi="Calibri"/>
        </w:rPr>
        <w:t xml:space="preserve">rigen </w:t>
      </w:r>
      <w:r>
        <w:rPr>
          <w:rFonts w:ascii="Calibri" w:hAnsi="Calibri"/>
        </w:rPr>
        <w:t>N</w:t>
      </w:r>
      <w:r w:rsidRPr="001928B4">
        <w:rPr>
          <w:rFonts w:ascii="Calibri" w:hAnsi="Calibri"/>
        </w:rPr>
        <w:t>acional observan un crecimiento interanual de 26,4</w:t>
      </w:r>
      <w:r>
        <w:rPr>
          <w:rFonts w:ascii="Calibri" w:hAnsi="Calibri"/>
        </w:rPr>
        <w:t xml:space="preserve">%, aportando </w:t>
      </w:r>
      <w:r w:rsidRPr="001928B4">
        <w:rPr>
          <w:rFonts w:ascii="Calibri" w:hAnsi="Calibri"/>
        </w:rPr>
        <w:t xml:space="preserve">38,3% del aumento de los ingresos totales. </w:t>
      </w:r>
      <w:r>
        <w:rPr>
          <w:rFonts w:ascii="Calibri" w:hAnsi="Calibri"/>
        </w:rPr>
        <w:t>L</w:t>
      </w:r>
      <w:r w:rsidRPr="001928B4">
        <w:rPr>
          <w:rFonts w:ascii="Calibri" w:hAnsi="Calibri"/>
        </w:rPr>
        <w:t xml:space="preserve">os componentes de tales ingresos tienen un comportamiento particular ya que mientras los recursos por Coparticipación Federal de Impuestos (Ley </w:t>
      </w:r>
      <w:r>
        <w:rPr>
          <w:rFonts w:ascii="Calibri" w:hAnsi="Calibri"/>
        </w:rPr>
        <w:t xml:space="preserve">N° </w:t>
      </w:r>
      <w:r w:rsidRPr="001928B4">
        <w:rPr>
          <w:rFonts w:ascii="Calibri" w:hAnsi="Calibri"/>
        </w:rPr>
        <w:lastRenderedPageBreak/>
        <w:t>23.548) registraron un incremento interanual de 23,9%, el conjunto de Otros Recursos de Origen Nacional muestra un crecimiento de 52,5%</w:t>
      </w:r>
      <w:r>
        <w:rPr>
          <w:rFonts w:ascii="Calibri" w:hAnsi="Calibri"/>
        </w:rPr>
        <w:t xml:space="preserve">. Es necesario aclarar que estos últimos recursos sólo explican 6,6% del incremento total de recursos, y su variación </w:t>
      </w:r>
      <w:r w:rsidRPr="001928B4">
        <w:rPr>
          <w:rFonts w:ascii="Calibri" w:hAnsi="Calibri"/>
        </w:rPr>
        <w:t xml:space="preserve">responde </w:t>
      </w:r>
      <w:r>
        <w:rPr>
          <w:rFonts w:ascii="Calibri" w:hAnsi="Calibri"/>
        </w:rPr>
        <w:t xml:space="preserve">fundamentalmente </w:t>
      </w:r>
      <w:r w:rsidRPr="001928B4">
        <w:rPr>
          <w:rFonts w:ascii="Calibri" w:hAnsi="Calibri"/>
        </w:rPr>
        <w:t xml:space="preserve">a </w:t>
      </w:r>
      <w:r>
        <w:rPr>
          <w:rFonts w:ascii="Calibri" w:hAnsi="Calibri"/>
        </w:rPr>
        <w:t xml:space="preserve">una </w:t>
      </w:r>
      <w:r w:rsidRPr="001928B4">
        <w:rPr>
          <w:rFonts w:ascii="Calibri" w:hAnsi="Calibri"/>
        </w:rPr>
        <w:t xml:space="preserve">mayor recaudación </w:t>
      </w:r>
      <w:r>
        <w:rPr>
          <w:rFonts w:ascii="Calibri" w:hAnsi="Calibri"/>
        </w:rPr>
        <w:t>del I</w:t>
      </w:r>
      <w:r w:rsidRPr="0046642E">
        <w:rPr>
          <w:rFonts w:ascii="Calibri" w:hAnsi="Calibri"/>
        </w:rPr>
        <w:t>mpuesto a los Bienes Personales</w:t>
      </w:r>
      <w:r>
        <w:rPr>
          <w:rFonts w:ascii="Calibri" w:hAnsi="Calibri"/>
        </w:rPr>
        <w:t>.</w:t>
      </w:r>
    </w:p>
    <w:p w:rsidR="005704A3" w:rsidRPr="00D342BB" w:rsidRDefault="005704A3" w:rsidP="005704A3">
      <w:pPr>
        <w:suppressAutoHyphens/>
        <w:jc w:val="both"/>
        <w:rPr>
          <w:rFonts w:ascii="Calibri" w:hAnsi="Calibri"/>
          <w:highlight w:val="yellow"/>
        </w:rPr>
      </w:pPr>
    </w:p>
    <w:p w:rsidR="0012107C" w:rsidRPr="00F133D6" w:rsidRDefault="0012107C" w:rsidP="00B939A1">
      <w:pPr>
        <w:suppressAutoHyphens/>
        <w:jc w:val="center"/>
        <w:rPr>
          <w:rFonts w:ascii="Calibri" w:hAnsi="Calibri"/>
        </w:rPr>
      </w:pPr>
      <w:r w:rsidRPr="00F133D6">
        <w:rPr>
          <w:rFonts w:ascii="Calibri" w:hAnsi="Calibri"/>
          <w:b/>
        </w:rPr>
        <w:t xml:space="preserve">Cuadro </w:t>
      </w:r>
      <w:r>
        <w:rPr>
          <w:rFonts w:ascii="Calibri" w:hAnsi="Calibri"/>
          <w:b/>
        </w:rPr>
        <w:t>2</w:t>
      </w:r>
      <w:r w:rsidRPr="00F133D6">
        <w:rPr>
          <w:rFonts w:ascii="Calibri" w:hAnsi="Calibri"/>
          <w:b/>
        </w:rPr>
        <w:t>.</w:t>
      </w:r>
      <w:r w:rsidRPr="00F133D6">
        <w:rPr>
          <w:rFonts w:ascii="Calibri" w:hAnsi="Calibri"/>
        </w:rPr>
        <w:t xml:space="preserve"> Ingresos totales de la APNF</w:t>
      </w:r>
    </w:p>
    <w:p w:rsidR="0012107C" w:rsidRPr="00F133D6" w:rsidRDefault="0012107C" w:rsidP="00B939A1">
      <w:pPr>
        <w:suppressAutoHyphens/>
        <w:jc w:val="center"/>
        <w:rPr>
          <w:rFonts w:ascii="Calibri" w:hAnsi="Calibri"/>
        </w:rPr>
      </w:pPr>
      <w:r>
        <w:rPr>
          <w:rFonts w:ascii="Calibri" w:hAnsi="Calibri"/>
        </w:rPr>
        <w:t>Comparativo I Semestre 20</w:t>
      </w:r>
      <w:r w:rsidR="00D342BB">
        <w:rPr>
          <w:rFonts w:ascii="Calibri" w:hAnsi="Calibri"/>
        </w:rPr>
        <w:t>20</w:t>
      </w:r>
      <w:r>
        <w:rPr>
          <w:rFonts w:ascii="Calibri" w:hAnsi="Calibri"/>
        </w:rPr>
        <w:t>-201</w:t>
      </w:r>
      <w:r w:rsidR="00D342BB">
        <w:rPr>
          <w:rFonts w:ascii="Calibri" w:hAnsi="Calibri"/>
        </w:rPr>
        <w:t>9</w:t>
      </w:r>
    </w:p>
    <w:p w:rsidR="0012107C" w:rsidRDefault="0012107C" w:rsidP="00227F8B">
      <w:pPr>
        <w:suppressAutoHyphens/>
        <w:spacing w:after="120"/>
        <w:jc w:val="center"/>
        <w:rPr>
          <w:rFonts w:ascii="Calibri" w:hAnsi="Calibri"/>
        </w:rPr>
      </w:pPr>
      <w:r>
        <w:rPr>
          <w:rFonts w:ascii="Calibri" w:hAnsi="Calibri"/>
        </w:rPr>
        <w:t>En</w:t>
      </w:r>
      <w:r w:rsidRPr="00F133D6">
        <w:rPr>
          <w:rFonts w:ascii="Calibri" w:hAnsi="Calibri"/>
        </w:rPr>
        <w:t xml:space="preserve"> millones de pesos</w:t>
      </w:r>
    </w:p>
    <w:p w:rsidR="0012107C" w:rsidRDefault="009B4274" w:rsidP="00136054">
      <w:pPr>
        <w:suppressAutoHyphens/>
        <w:jc w:val="center"/>
        <w:rPr>
          <w:rFonts w:ascii="Calibri" w:hAnsi="Calibri"/>
          <w:sz w:val="20"/>
          <w:szCs w:val="20"/>
        </w:rPr>
      </w:pPr>
      <w:r>
        <w:pict>
          <v:shape id="_x0000_i1027" type="#_x0000_t75" style="width:423.75pt;height:300.75pt">
            <v:imagedata r:id="rId12" o:title=""/>
          </v:shape>
        </w:pict>
      </w:r>
    </w:p>
    <w:p w:rsidR="0012107C" w:rsidRPr="007A06DC" w:rsidRDefault="0012107C" w:rsidP="00EC49F6">
      <w:pPr>
        <w:suppressAutoHyphens/>
        <w:ind w:left="567"/>
        <w:jc w:val="both"/>
        <w:rPr>
          <w:rFonts w:ascii="Calibri" w:hAnsi="Calibri"/>
          <w:sz w:val="20"/>
          <w:szCs w:val="20"/>
        </w:rPr>
      </w:pPr>
      <w:r w:rsidRPr="00B939A1">
        <w:rPr>
          <w:rFonts w:ascii="Calibri" w:hAnsi="Calibri"/>
          <w:b/>
          <w:sz w:val="20"/>
          <w:szCs w:val="20"/>
        </w:rPr>
        <w:t>Fuente</w:t>
      </w:r>
      <w:r>
        <w:rPr>
          <w:rFonts w:ascii="Calibri" w:hAnsi="Calibri"/>
          <w:sz w:val="20"/>
          <w:szCs w:val="20"/>
        </w:rPr>
        <w:t>: Secretaria de Hacienda en base a información provista por las jurisdicciones</w:t>
      </w:r>
    </w:p>
    <w:p w:rsidR="0012107C" w:rsidRPr="00343ABC" w:rsidRDefault="0012107C" w:rsidP="00343ABC">
      <w:pPr>
        <w:jc w:val="both"/>
        <w:rPr>
          <w:rFonts w:ascii="Calibri" w:hAnsi="Calibri"/>
          <w:highlight w:val="yellow"/>
        </w:rPr>
      </w:pPr>
    </w:p>
    <w:p w:rsidR="00A810D9" w:rsidRPr="001928B4" w:rsidRDefault="00A810D9" w:rsidP="00A810D9">
      <w:pPr>
        <w:jc w:val="both"/>
        <w:rPr>
          <w:rFonts w:ascii="Calibri" w:hAnsi="Calibri"/>
        </w:rPr>
      </w:pPr>
      <w:r w:rsidRPr="001928B4">
        <w:rPr>
          <w:rFonts w:ascii="Calibri" w:hAnsi="Calibri"/>
        </w:rPr>
        <w:t>En lo que refiere a los recursos derivados de la Ley 23.548 y modificatorias cabe señalar que, en el marco de la Ley N° 27.260 que ratificó el Acuerdo entre el Estado Nacional y 21 Jurisdicciones, se dispone la eliminación escalonada de la detracción de 15% de la masa de impuestos coparticipables destinados a la ANSES. En 2020 la reducción de esta detracción corresponde a 15 puntos porcentuales anuales en tanto que en 2019 fue de 12 puntos porcentuales. El año 2020 culmina con la aplicación gradual de la reducción de 15% de la masa coparticipable destinado a financiar el sistema previsional. De este modo, las Jurisdicciones obtuvieron una mayor participación en la distribución de recursos coparticipables.</w:t>
      </w:r>
    </w:p>
    <w:p w:rsidR="0012107C" w:rsidRPr="007E1155" w:rsidRDefault="0012107C" w:rsidP="00343ABC">
      <w:pPr>
        <w:jc w:val="both"/>
        <w:rPr>
          <w:rFonts w:ascii="Calibri" w:hAnsi="Calibri"/>
        </w:rPr>
      </w:pPr>
    </w:p>
    <w:p w:rsidR="00A810D9" w:rsidRPr="001928B4" w:rsidRDefault="00A810D9" w:rsidP="00A810D9">
      <w:pPr>
        <w:jc w:val="both"/>
        <w:rPr>
          <w:rFonts w:ascii="Calibri" w:hAnsi="Calibri"/>
        </w:rPr>
      </w:pPr>
      <w:r w:rsidRPr="001928B4">
        <w:rPr>
          <w:rFonts w:ascii="Calibri" w:hAnsi="Calibri"/>
        </w:rPr>
        <w:t>Constituyen una excepción a lo antes mencionado las Provincias de Córdoba, San Luis y Santa Fe, que ya a fines de 2015 habían comenzado a percibir los recursos por el cese de la detracción de 15% a la ANSES debido a los fallos de inconstitucionalidad (San Luis y Santa Fe), y a la medida cau</w:t>
      </w:r>
      <w:r w:rsidRPr="001928B4">
        <w:rPr>
          <w:rFonts w:ascii="Calibri" w:hAnsi="Calibri"/>
        </w:rPr>
        <w:lastRenderedPageBreak/>
        <w:t>telar (Córdoba) emitidos por la CSJN. Del mismo modo, Santa Fe en la fecha antes mencionada</w:t>
      </w:r>
      <w:r>
        <w:rPr>
          <w:rFonts w:ascii="Calibri" w:hAnsi="Calibri"/>
        </w:rPr>
        <w:t xml:space="preserve"> y La Pampa a partir de noviembre 2018</w:t>
      </w:r>
      <w:r w:rsidRPr="001928B4">
        <w:rPr>
          <w:rFonts w:ascii="Calibri" w:hAnsi="Calibri"/>
        </w:rPr>
        <w:t xml:space="preserve"> comenz</w:t>
      </w:r>
      <w:r>
        <w:rPr>
          <w:rFonts w:ascii="Calibri" w:hAnsi="Calibri"/>
        </w:rPr>
        <w:t>aron</w:t>
      </w:r>
      <w:r w:rsidRPr="001928B4">
        <w:rPr>
          <w:rFonts w:ascii="Calibri" w:hAnsi="Calibri"/>
        </w:rPr>
        <w:t xml:space="preserve"> a percibir los recursos debido al fallo de inconstitucionalidad del Decreto N° 1399/01 emitido por la CSJN.</w:t>
      </w:r>
    </w:p>
    <w:p w:rsidR="0012107C" w:rsidRPr="00D342BB" w:rsidRDefault="0012107C" w:rsidP="00343ABC">
      <w:pPr>
        <w:jc w:val="both"/>
        <w:rPr>
          <w:rFonts w:ascii="Calibri" w:hAnsi="Calibri"/>
          <w:highlight w:val="yellow"/>
        </w:rPr>
      </w:pPr>
    </w:p>
    <w:p w:rsidR="0012107C" w:rsidRDefault="00A810D9" w:rsidP="00156F25">
      <w:pPr>
        <w:jc w:val="both"/>
        <w:rPr>
          <w:rFonts w:ascii="Calibri" w:hAnsi="Calibri"/>
        </w:rPr>
      </w:pPr>
      <w:r w:rsidRPr="001928B4">
        <w:rPr>
          <w:rFonts w:ascii="Calibri" w:hAnsi="Calibri"/>
        </w:rPr>
        <w:t>Asimismo, mantienen su vigencia los cambios introducidos en la distribución de impuestos nacionales en el marco del Consenso Fiscal</w:t>
      </w:r>
      <w:r>
        <w:rPr>
          <w:rFonts w:ascii="Calibri" w:hAnsi="Calibri"/>
        </w:rPr>
        <w:t xml:space="preserve"> </w:t>
      </w:r>
      <w:r w:rsidRPr="001928B4">
        <w:rPr>
          <w:rFonts w:ascii="Calibri" w:hAnsi="Calibri"/>
        </w:rPr>
        <w:t xml:space="preserve">2017 (Ley </w:t>
      </w:r>
      <w:r>
        <w:rPr>
          <w:rFonts w:ascii="Calibri" w:hAnsi="Calibri"/>
        </w:rPr>
        <w:t xml:space="preserve">N° </w:t>
      </w:r>
      <w:r w:rsidRPr="001928B4">
        <w:rPr>
          <w:rFonts w:ascii="Calibri" w:hAnsi="Calibri"/>
        </w:rPr>
        <w:t>27.429)</w:t>
      </w:r>
      <w:r>
        <w:rPr>
          <w:rFonts w:ascii="Calibri" w:hAnsi="Calibri"/>
        </w:rPr>
        <w:t xml:space="preserve">, y las compensaciones previstas en la </w:t>
      </w:r>
      <w:r w:rsidRPr="001928B4">
        <w:rPr>
          <w:rFonts w:ascii="Calibri" w:hAnsi="Calibri"/>
        </w:rPr>
        <w:t>cláusula II. a) b) d) y e)</w:t>
      </w:r>
      <w:r>
        <w:rPr>
          <w:rFonts w:ascii="Calibri" w:hAnsi="Calibri"/>
        </w:rPr>
        <w:t xml:space="preserve">. </w:t>
      </w:r>
      <w:r w:rsidRPr="001928B4">
        <w:rPr>
          <w:rFonts w:ascii="Calibri" w:hAnsi="Calibri"/>
        </w:rPr>
        <w:t xml:space="preserve">Como consecuencia de tales cambios, 21 Jurisdicciones recibieron compensaciones diarias por un monto consolidado al segundo trimestre de 2020 de </w:t>
      </w:r>
      <w:r w:rsidR="00953115">
        <w:rPr>
          <w:rFonts w:ascii="Calibri" w:hAnsi="Calibri"/>
        </w:rPr>
        <w:t xml:space="preserve">$ </w:t>
      </w:r>
      <w:r w:rsidRPr="001928B4">
        <w:rPr>
          <w:rFonts w:ascii="Calibri" w:hAnsi="Calibri"/>
        </w:rPr>
        <w:t>40.831,8 millones, lo cual significó un incremento de 21,7% con respecto al año anterior.</w:t>
      </w:r>
    </w:p>
    <w:p w:rsidR="00A810D9" w:rsidRDefault="00A810D9" w:rsidP="00156F25">
      <w:pPr>
        <w:jc w:val="both"/>
        <w:rPr>
          <w:rFonts w:ascii="Calibri" w:hAnsi="Calibri"/>
          <w:highlight w:val="yellow"/>
        </w:rPr>
      </w:pPr>
    </w:p>
    <w:p w:rsidR="00A810D9" w:rsidRDefault="00A810D9" w:rsidP="00A810D9">
      <w:pPr>
        <w:suppressAutoHyphens/>
        <w:jc w:val="both"/>
        <w:rPr>
          <w:rFonts w:ascii="Calibri" w:hAnsi="Calibri"/>
        </w:rPr>
      </w:pPr>
      <w:r w:rsidRPr="001928B4">
        <w:rPr>
          <w:rFonts w:ascii="Calibri" w:hAnsi="Calibri"/>
        </w:rPr>
        <w:t xml:space="preserve">Por otra parte, los </w:t>
      </w:r>
      <w:r>
        <w:rPr>
          <w:rFonts w:ascii="Calibri" w:hAnsi="Calibri"/>
        </w:rPr>
        <w:t>T</w:t>
      </w:r>
      <w:r w:rsidRPr="001928B4">
        <w:rPr>
          <w:rFonts w:ascii="Calibri" w:hAnsi="Calibri"/>
        </w:rPr>
        <w:t>ributos de origen provincial presentan una variación de 29,8%, mostrando un</w:t>
      </w:r>
      <w:r>
        <w:rPr>
          <w:rFonts w:ascii="Calibri" w:hAnsi="Calibri"/>
        </w:rPr>
        <w:t xml:space="preserve"> mayor incremento que los de origen nacional.</w:t>
      </w:r>
    </w:p>
    <w:p w:rsidR="00A810D9" w:rsidRDefault="00A810D9" w:rsidP="00A810D9">
      <w:pPr>
        <w:suppressAutoHyphens/>
        <w:jc w:val="both"/>
        <w:rPr>
          <w:rFonts w:ascii="Calibri" w:hAnsi="Calibri"/>
        </w:rPr>
      </w:pPr>
    </w:p>
    <w:p w:rsidR="00A810D9" w:rsidRDefault="00A810D9" w:rsidP="00A810D9">
      <w:pPr>
        <w:suppressAutoHyphens/>
        <w:jc w:val="both"/>
        <w:rPr>
          <w:rFonts w:ascii="Calibri" w:hAnsi="Calibri"/>
        </w:rPr>
      </w:pPr>
      <w:r>
        <w:rPr>
          <w:rFonts w:ascii="Calibri" w:hAnsi="Calibri"/>
        </w:rPr>
        <w:t>L</w:t>
      </w:r>
      <w:r w:rsidRPr="001928B4">
        <w:rPr>
          <w:rFonts w:ascii="Calibri" w:hAnsi="Calibri"/>
        </w:rPr>
        <w:t>a recaudación de Ingresos Brutos</w:t>
      </w:r>
      <w:r>
        <w:rPr>
          <w:rFonts w:ascii="Calibri" w:hAnsi="Calibri"/>
        </w:rPr>
        <w:t xml:space="preserve"> tuvo un </w:t>
      </w:r>
      <w:r w:rsidRPr="001928B4">
        <w:rPr>
          <w:rFonts w:ascii="Calibri" w:hAnsi="Calibri"/>
        </w:rPr>
        <w:t>incremento de 35,5%</w:t>
      </w:r>
      <w:r>
        <w:rPr>
          <w:rFonts w:ascii="Calibri" w:hAnsi="Calibri"/>
        </w:rPr>
        <w:t xml:space="preserve"> respecto </w:t>
      </w:r>
      <w:r w:rsidR="00513ECB">
        <w:rPr>
          <w:rFonts w:ascii="Calibri" w:hAnsi="Calibri"/>
        </w:rPr>
        <w:t>de</w:t>
      </w:r>
      <w:r>
        <w:rPr>
          <w:rFonts w:ascii="Calibri" w:hAnsi="Calibri"/>
        </w:rPr>
        <w:t xml:space="preserve">l primer semestre de 2019, mientras que Inmuebles creció 30,3%, Automotores 11,0%, y Sellos 5,2%. Cabe destacar que Ingresos Brutos </w:t>
      </w:r>
      <w:r w:rsidRPr="001928B4">
        <w:rPr>
          <w:rFonts w:ascii="Calibri" w:hAnsi="Calibri"/>
        </w:rPr>
        <w:t>aport</w:t>
      </w:r>
      <w:r>
        <w:rPr>
          <w:rFonts w:ascii="Calibri" w:hAnsi="Calibri"/>
        </w:rPr>
        <w:t xml:space="preserve">ó </w:t>
      </w:r>
      <w:r w:rsidRPr="001928B4">
        <w:rPr>
          <w:rFonts w:ascii="Calibri" w:hAnsi="Calibri"/>
        </w:rPr>
        <w:t>75,7% de</w:t>
      </w:r>
      <w:r>
        <w:rPr>
          <w:rFonts w:ascii="Calibri" w:hAnsi="Calibri"/>
        </w:rPr>
        <w:t xml:space="preserve">l total </w:t>
      </w:r>
      <w:r w:rsidRPr="001928B4">
        <w:rPr>
          <w:rFonts w:ascii="Calibri" w:hAnsi="Calibri"/>
        </w:rPr>
        <w:t>de los recursos tributarios de origen provincial</w:t>
      </w:r>
      <w:r>
        <w:rPr>
          <w:rFonts w:ascii="Calibri" w:hAnsi="Calibri"/>
        </w:rPr>
        <w:t xml:space="preserve">, aumentando su participación en relación a 2019, cuando aportaba 72,5%. Debe mencionarse </w:t>
      </w:r>
      <w:r w:rsidRPr="001928B4">
        <w:rPr>
          <w:rFonts w:ascii="Calibri" w:hAnsi="Calibri"/>
        </w:rPr>
        <w:t xml:space="preserve">que el </w:t>
      </w:r>
      <w:r w:rsidRPr="004273AD">
        <w:rPr>
          <w:rFonts w:ascii="Calibri" w:hAnsi="Calibri"/>
        </w:rPr>
        <w:t>Consenso Fiscal 2019</w:t>
      </w:r>
      <w:r w:rsidRPr="001928B4">
        <w:rPr>
          <w:rFonts w:ascii="Calibri" w:hAnsi="Calibri"/>
        </w:rPr>
        <w:t xml:space="preserve"> suspendió los compromisos de reducción gradual de la presión impositiva </w:t>
      </w:r>
      <w:r>
        <w:rPr>
          <w:rFonts w:ascii="Calibri" w:hAnsi="Calibri"/>
        </w:rPr>
        <w:t xml:space="preserve">a la actividad económica </w:t>
      </w:r>
      <w:r w:rsidRPr="001928B4">
        <w:rPr>
          <w:rFonts w:ascii="Calibri" w:hAnsi="Calibri"/>
        </w:rPr>
        <w:t>impulsa</w:t>
      </w:r>
      <w:r>
        <w:rPr>
          <w:rFonts w:ascii="Calibri" w:hAnsi="Calibri"/>
        </w:rPr>
        <w:t>da por el Consenso Fiscal 2017.</w:t>
      </w:r>
    </w:p>
    <w:p w:rsidR="00A810D9" w:rsidRDefault="00A810D9" w:rsidP="00A810D9">
      <w:pPr>
        <w:suppressAutoHyphens/>
        <w:jc w:val="both"/>
        <w:rPr>
          <w:rFonts w:ascii="Calibri" w:hAnsi="Calibri"/>
        </w:rPr>
      </w:pPr>
    </w:p>
    <w:p w:rsidR="00A810D9" w:rsidRPr="001928B4" w:rsidRDefault="00A810D9" w:rsidP="00A810D9">
      <w:pPr>
        <w:suppressAutoHyphens/>
        <w:jc w:val="both"/>
        <w:rPr>
          <w:rFonts w:ascii="Calibri" w:hAnsi="Calibri"/>
        </w:rPr>
      </w:pPr>
      <w:r>
        <w:rPr>
          <w:rFonts w:ascii="Calibri" w:hAnsi="Calibri"/>
        </w:rPr>
        <w:t xml:space="preserve">Además, debe </w:t>
      </w:r>
      <w:r w:rsidRPr="00A00C42">
        <w:rPr>
          <w:rFonts w:ascii="Calibri" w:hAnsi="Calibri"/>
        </w:rPr>
        <w:t>destacar</w:t>
      </w:r>
      <w:r>
        <w:rPr>
          <w:rFonts w:ascii="Calibri" w:hAnsi="Calibri"/>
        </w:rPr>
        <w:t>se</w:t>
      </w:r>
      <w:r w:rsidRPr="001928B4">
        <w:rPr>
          <w:rFonts w:ascii="Calibri" w:hAnsi="Calibri"/>
        </w:rPr>
        <w:t xml:space="preserve"> </w:t>
      </w:r>
      <w:r>
        <w:rPr>
          <w:rFonts w:ascii="Calibri" w:hAnsi="Calibri"/>
        </w:rPr>
        <w:t xml:space="preserve">que el comportamiento de los recursos tributarios y no tributarios estuvo influido por el inicio de la emergencia sanitaria derivada de la situación de pandemia emitida por la Organización Mundial de la Salud. En este contexto, a partir del Decreto PEN N° 297/2020 </w:t>
      </w:r>
      <w:r w:rsidR="008D300D">
        <w:rPr>
          <w:rFonts w:ascii="Calibri" w:hAnsi="Calibri"/>
        </w:rPr>
        <w:t>s</w:t>
      </w:r>
      <w:r>
        <w:rPr>
          <w:rFonts w:ascii="Calibri" w:hAnsi="Calibri"/>
        </w:rPr>
        <w:t xml:space="preserve">e estableció el </w:t>
      </w:r>
      <w:r w:rsidRPr="009E0EFF">
        <w:rPr>
          <w:rFonts w:ascii="Calibri" w:hAnsi="Calibri"/>
        </w:rPr>
        <w:t>aislamiento social, preventivo y obligatorio</w:t>
      </w:r>
      <w:r>
        <w:rPr>
          <w:rFonts w:ascii="Calibri" w:hAnsi="Calibri"/>
        </w:rPr>
        <w:t xml:space="preserve"> en la República Argentina. Estas medidas afectaron a la actividad económica lo cual impactó negativamente en los niveles de recaudación tanto nacional como provincial. A su vez, el Gobierno Nacional, los Gobiernos Provinciales y de la Ciudad Autónoma de Buenos Aires adoptaron diversas medidas de administración tributaria, tales como la postergación de vencimientos y la eximición del pago de impuestos y tasas locales.</w:t>
      </w:r>
    </w:p>
    <w:p w:rsidR="00A810D9" w:rsidRDefault="00A810D9" w:rsidP="00156F25">
      <w:pPr>
        <w:jc w:val="both"/>
        <w:rPr>
          <w:rFonts w:ascii="Calibri" w:hAnsi="Calibri"/>
          <w:highlight w:val="yellow"/>
        </w:rPr>
      </w:pPr>
    </w:p>
    <w:p w:rsidR="00A810D9" w:rsidRPr="001928B4" w:rsidRDefault="00A810D9" w:rsidP="00A810D9">
      <w:pPr>
        <w:suppressAutoHyphens/>
        <w:jc w:val="both"/>
        <w:rPr>
          <w:rFonts w:ascii="Calibri" w:hAnsi="Calibri"/>
        </w:rPr>
      </w:pPr>
      <w:r w:rsidRPr="001928B4">
        <w:rPr>
          <w:rFonts w:ascii="Calibri" w:hAnsi="Calibri"/>
        </w:rPr>
        <w:t>Los Ingresos No Tributarios tuvieron un aumento de 11,8%</w:t>
      </w:r>
      <w:r>
        <w:rPr>
          <w:rFonts w:ascii="Calibri" w:hAnsi="Calibri"/>
        </w:rPr>
        <w:t xml:space="preserve"> en relación el primer semestre de 2019</w:t>
      </w:r>
      <w:r w:rsidRPr="001928B4">
        <w:rPr>
          <w:rFonts w:ascii="Calibri" w:hAnsi="Calibri"/>
        </w:rPr>
        <w:t xml:space="preserve">, explicado en mayor medida por el crecimiento de las Regalías Hidrocarburíferas </w:t>
      </w:r>
      <w:r>
        <w:rPr>
          <w:rFonts w:ascii="Calibri" w:hAnsi="Calibri"/>
        </w:rPr>
        <w:t>(</w:t>
      </w:r>
      <w:r w:rsidRPr="001928B4">
        <w:rPr>
          <w:rFonts w:ascii="Calibri" w:hAnsi="Calibri"/>
        </w:rPr>
        <w:t>1</w:t>
      </w:r>
      <w:r>
        <w:rPr>
          <w:rFonts w:ascii="Calibri" w:hAnsi="Calibri"/>
        </w:rPr>
        <w:t>3</w:t>
      </w:r>
      <w:r w:rsidRPr="001928B4">
        <w:rPr>
          <w:rFonts w:ascii="Calibri" w:hAnsi="Calibri"/>
        </w:rPr>
        <w:t>,</w:t>
      </w:r>
      <w:r>
        <w:rPr>
          <w:rFonts w:ascii="Calibri" w:hAnsi="Calibri"/>
        </w:rPr>
        <w:t>6</w:t>
      </w:r>
      <w:r w:rsidRPr="001928B4">
        <w:rPr>
          <w:rFonts w:ascii="Calibri" w:hAnsi="Calibri"/>
        </w:rPr>
        <w:t>%</w:t>
      </w:r>
      <w:r>
        <w:rPr>
          <w:rFonts w:ascii="Calibri" w:hAnsi="Calibri"/>
        </w:rPr>
        <w:t xml:space="preserve">). La dinámica de estas regalías </w:t>
      </w:r>
      <w:r w:rsidRPr="001928B4">
        <w:rPr>
          <w:rFonts w:ascii="Calibri" w:hAnsi="Calibri"/>
        </w:rPr>
        <w:t>estuv</w:t>
      </w:r>
      <w:r>
        <w:rPr>
          <w:rFonts w:ascii="Calibri" w:hAnsi="Calibri"/>
        </w:rPr>
        <w:t xml:space="preserve">o </w:t>
      </w:r>
      <w:r w:rsidRPr="001928B4">
        <w:rPr>
          <w:rFonts w:ascii="Calibri" w:hAnsi="Calibri"/>
        </w:rPr>
        <w:t>determinad</w:t>
      </w:r>
      <w:r>
        <w:rPr>
          <w:rFonts w:ascii="Calibri" w:hAnsi="Calibri"/>
        </w:rPr>
        <w:t xml:space="preserve">a </w:t>
      </w:r>
      <w:r w:rsidRPr="001928B4">
        <w:rPr>
          <w:rFonts w:ascii="Calibri" w:hAnsi="Calibri"/>
        </w:rPr>
        <w:t xml:space="preserve">por </w:t>
      </w:r>
      <w:r>
        <w:rPr>
          <w:rFonts w:ascii="Calibri" w:hAnsi="Calibri"/>
        </w:rPr>
        <w:t>la evolución del tipo de cambio</w:t>
      </w:r>
      <w:r w:rsidRPr="001928B4">
        <w:rPr>
          <w:rFonts w:ascii="Calibri" w:hAnsi="Calibri"/>
        </w:rPr>
        <w:t xml:space="preserve"> </w:t>
      </w:r>
      <w:r>
        <w:rPr>
          <w:rFonts w:ascii="Calibri" w:hAnsi="Calibri"/>
        </w:rPr>
        <w:t xml:space="preserve">y </w:t>
      </w:r>
      <w:r w:rsidRPr="001928B4">
        <w:rPr>
          <w:rFonts w:ascii="Calibri" w:hAnsi="Calibri"/>
        </w:rPr>
        <w:t xml:space="preserve">el precio </w:t>
      </w:r>
      <w:r>
        <w:rPr>
          <w:rFonts w:ascii="Calibri" w:hAnsi="Calibri"/>
        </w:rPr>
        <w:t xml:space="preserve">internacional del petróleo, el que bajó notablemente debido a la contracción de la demanda de petróleo producto de la caída de la actividad económica originada por la pandemia. </w:t>
      </w:r>
      <w:r w:rsidRPr="001928B4">
        <w:rPr>
          <w:rFonts w:ascii="Calibri" w:hAnsi="Calibri"/>
        </w:rPr>
        <w:t>Por su parte, los denominados Otros ingresos No Tributarios crecieron 11,4%.</w:t>
      </w:r>
    </w:p>
    <w:p w:rsidR="00466D42" w:rsidRPr="00D342BB" w:rsidRDefault="00466D42" w:rsidP="00EC49F6">
      <w:pPr>
        <w:suppressAutoHyphens/>
        <w:jc w:val="both"/>
        <w:rPr>
          <w:rFonts w:ascii="Calibri" w:hAnsi="Calibri"/>
          <w:highlight w:val="yellow"/>
        </w:rPr>
      </w:pPr>
    </w:p>
    <w:p w:rsidR="00A810D9" w:rsidRPr="001928B4" w:rsidRDefault="00A810D9" w:rsidP="00A810D9">
      <w:pPr>
        <w:suppressAutoHyphens/>
        <w:jc w:val="both"/>
        <w:rPr>
          <w:rFonts w:ascii="Calibri" w:hAnsi="Calibri"/>
        </w:rPr>
      </w:pPr>
      <w:r w:rsidRPr="001928B4">
        <w:rPr>
          <w:rFonts w:ascii="Calibri" w:hAnsi="Calibri"/>
        </w:rPr>
        <w:t xml:space="preserve">Los ingresos por Contribuciones de la Seguridad Social se incrementaron interanualmente 39,0%, contribuyendo con 12,0% del aumento total de recursos. Como se menciona en el apartado respectivo a Gastos en Personal, la suba de estos recursos se encuentra principalmente relacionada con la dinámica salarial del empleo público provincial. Cabe recordar que sólo 13 </w:t>
      </w:r>
      <w:r w:rsidRPr="001928B4">
        <w:rPr>
          <w:rFonts w:ascii="Calibri" w:hAnsi="Calibri"/>
        </w:rPr>
        <w:lastRenderedPageBreak/>
        <w:t>Provincias perciben ingresos por este concepto, ya que 11 Jurisdicciones transfirieron sus Sistemas Previsionales a la Administración Nacional.</w:t>
      </w:r>
    </w:p>
    <w:p w:rsidR="00A810D9" w:rsidRPr="001928B4" w:rsidRDefault="00A810D9" w:rsidP="00A810D9">
      <w:pPr>
        <w:suppressAutoHyphens/>
        <w:jc w:val="both"/>
        <w:rPr>
          <w:rFonts w:ascii="Calibri" w:hAnsi="Calibri"/>
        </w:rPr>
      </w:pPr>
    </w:p>
    <w:p w:rsidR="00A810D9" w:rsidRPr="001928B4" w:rsidRDefault="00A810D9" w:rsidP="00A810D9">
      <w:pPr>
        <w:suppressAutoHyphens/>
        <w:jc w:val="both"/>
        <w:rPr>
          <w:rFonts w:ascii="Calibri" w:hAnsi="Calibri"/>
        </w:rPr>
      </w:pPr>
      <w:r w:rsidRPr="001928B4">
        <w:rPr>
          <w:rFonts w:ascii="Calibri" w:hAnsi="Calibri"/>
        </w:rPr>
        <w:t>Los recursos por Transferencias Corrientes presentaron un</w:t>
      </w:r>
      <w:r>
        <w:rPr>
          <w:rFonts w:ascii="Calibri" w:hAnsi="Calibri"/>
        </w:rPr>
        <w:t xml:space="preserve"> incremento </w:t>
      </w:r>
      <w:r w:rsidRPr="001928B4">
        <w:rPr>
          <w:rFonts w:ascii="Calibri" w:hAnsi="Calibri"/>
        </w:rPr>
        <w:t>de 265,5%</w:t>
      </w:r>
      <w:r>
        <w:rPr>
          <w:rFonts w:ascii="Calibri" w:hAnsi="Calibri"/>
        </w:rPr>
        <w:t>,</w:t>
      </w:r>
      <w:r w:rsidRPr="001928B4">
        <w:rPr>
          <w:rFonts w:ascii="Calibri" w:hAnsi="Calibri"/>
        </w:rPr>
        <w:t xml:space="preserve"> </w:t>
      </w:r>
      <w:r>
        <w:rPr>
          <w:rFonts w:ascii="Calibri" w:hAnsi="Calibri"/>
        </w:rPr>
        <w:t xml:space="preserve">fundamentalmente </w:t>
      </w:r>
      <w:r w:rsidRPr="001928B4">
        <w:rPr>
          <w:rFonts w:ascii="Calibri" w:hAnsi="Calibri"/>
        </w:rPr>
        <w:t xml:space="preserve">como consecuencia </w:t>
      </w:r>
      <w:r>
        <w:rPr>
          <w:rFonts w:ascii="Calibri" w:hAnsi="Calibri"/>
        </w:rPr>
        <w:t xml:space="preserve">de </w:t>
      </w:r>
      <w:r w:rsidRPr="001928B4">
        <w:rPr>
          <w:rFonts w:ascii="Calibri" w:hAnsi="Calibri"/>
        </w:rPr>
        <w:t>los aportes e</w:t>
      </w:r>
      <w:r>
        <w:rPr>
          <w:rFonts w:ascii="Calibri" w:hAnsi="Calibri"/>
        </w:rPr>
        <w:t xml:space="preserve">speciales realizados por el Gobierno Nacional en el marco de </w:t>
      </w:r>
      <w:r w:rsidRPr="001928B4">
        <w:rPr>
          <w:rFonts w:ascii="Calibri" w:hAnsi="Calibri"/>
        </w:rPr>
        <w:t xml:space="preserve">la </w:t>
      </w:r>
      <w:r>
        <w:rPr>
          <w:rFonts w:ascii="Calibri" w:hAnsi="Calibri"/>
        </w:rPr>
        <w:t>E</w:t>
      </w:r>
      <w:r w:rsidRPr="001928B4">
        <w:rPr>
          <w:rFonts w:ascii="Calibri" w:hAnsi="Calibri"/>
        </w:rPr>
        <w:t xml:space="preserve">mergencia </w:t>
      </w:r>
      <w:r>
        <w:rPr>
          <w:rFonts w:ascii="Calibri" w:hAnsi="Calibri"/>
        </w:rPr>
        <w:t>S</w:t>
      </w:r>
      <w:r w:rsidRPr="001928B4">
        <w:rPr>
          <w:rFonts w:ascii="Calibri" w:hAnsi="Calibri"/>
        </w:rPr>
        <w:t>anitaria</w:t>
      </w:r>
      <w:r>
        <w:rPr>
          <w:rFonts w:ascii="Calibri" w:hAnsi="Calibri"/>
        </w:rPr>
        <w:t xml:space="preserve">, entre los que se destacan las transferencias del Fondo de Aportes del Tesoro Nacional (Fondo ATN) en el marco del </w:t>
      </w:r>
      <w:r w:rsidRPr="00427D65">
        <w:rPr>
          <w:rFonts w:ascii="Calibri" w:hAnsi="Calibri"/>
        </w:rPr>
        <w:t xml:space="preserve">Programa para la Emergencia </w:t>
      </w:r>
      <w:r w:rsidRPr="00827F76">
        <w:rPr>
          <w:rFonts w:ascii="Calibri" w:hAnsi="Calibri"/>
        </w:rPr>
        <w:t xml:space="preserve">Financiera </w:t>
      </w:r>
      <w:r w:rsidRPr="00427D65">
        <w:rPr>
          <w:rFonts w:ascii="Calibri" w:hAnsi="Calibri"/>
        </w:rPr>
        <w:t>Provincial (D</w:t>
      </w:r>
      <w:r>
        <w:rPr>
          <w:rFonts w:ascii="Calibri" w:hAnsi="Calibri"/>
        </w:rPr>
        <w:t xml:space="preserve">ecreto N° </w:t>
      </w:r>
      <w:r w:rsidRPr="00427D65">
        <w:rPr>
          <w:rFonts w:ascii="Calibri" w:hAnsi="Calibri"/>
        </w:rPr>
        <w:t>352/2020)</w:t>
      </w:r>
      <w:r>
        <w:rPr>
          <w:rFonts w:ascii="Calibri" w:hAnsi="Calibri"/>
        </w:rPr>
        <w:t xml:space="preserve"> y la asistencia financiera a provincias y municipios. Además, se destacan l</w:t>
      </w:r>
      <w:r w:rsidRPr="001928B4">
        <w:rPr>
          <w:rFonts w:ascii="Calibri" w:hAnsi="Calibri"/>
        </w:rPr>
        <w:t xml:space="preserve">os mayores </w:t>
      </w:r>
      <w:r>
        <w:rPr>
          <w:rFonts w:ascii="Calibri" w:hAnsi="Calibri"/>
        </w:rPr>
        <w:t xml:space="preserve">montos </w:t>
      </w:r>
      <w:r w:rsidRPr="001928B4">
        <w:rPr>
          <w:rFonts w:ascii="Calibri" w:hAnsi="Calibri"/>
        </w:rPr>
        <w:t>transferidos por el Fondo Nacional de Incentivo Docente</w:t>
      </w:r>
      <w:r>
        <w:rPr>
          <w:rFonts w:ascii="Calibri" w:hAnsi="Calibri"/>
        </w:rPr>
        <w:t>.</w:t>
      </w:r>
    </w:p>
    <w:p w:rsidR="00A810D9" w:rsidRPr="001928B4" w:rsidRDefault="00A810D9" w:rsidP="00A810D9">
      <w:pPr>
        <w:suppressAutoHyphens/>
        <w:jc w:val="both"/>
        <w:rPr>
          <w:rFonts w:ascii="Calibri" w:hAnsi="Calibri"/>
        </w:rPr>
      </w:pPr>
    </w:p>
    <w:p w:rsidR="00A810D9" w:rsidRDefault="00A810D9" w:rsidP="00A810D9">
      <w:pPr>
        <w:suppressAutoHyphens/>
        <w:jc w:val="both"/>
        <w:rPr>
          <w:rFonts w:ascii="Calibri" w:hAnsi="Calibri"/>
        </w:rPr>
      </w:pPr>
      <w:r w:rsidRPr="001928B4">
        <w:rPr>
          <w:rFonts w:ascii="Calibri" w:hAnsi="Calibri"/>
        </w:rPr>
        <w:t>Por su parte</w:t>
      </w:r>
      <w:r>
        <w:rPr>
          <w:rFonts w:ascii="Calibri" w:hAnsi="Calibri"/>
        </w:rPr>
        <w:t>,</w:t>
      </w:r>
      <w:r w:rsidRPr="001928B4">
        <w:rPr>
          <w:rFonts w:ascii="Calibri" w:hAnsi="Calibri"/>
        </w:rPr>
        <w:t xml:space="preserve"> los ingresos por Transferencias de Capital se reducen respecto </w:t>
      </w:r>
      <w:r>
        <w:rPr>
          <w:rFonts w:ascii="Calibri" w:hAnsi="Calibri"/>
        </w:rPr>
        <w:t>a</w:t>
      </w:r>
      <w:r w:rsidRPr="001928B4">
        <w:rPr>
          <w:rFonts w:ascii="Calibri" w:hAnsi="Calibri"/>
        </w:rPr>
        <w:t xml:space="preserve">l segundo </w:t>
      </w:r>
      <w:r>
        <w:rPr>
          <w:rFonts w:ascii="Calibri" w:hAnsi="Calibri"/>
        </w:rPr>
        <w:t xml:space="preserve">semestre </w:t>
      </w:r>
      <w:r w:rsidRPr="001928B4">
        <w:rPr>
          <w:rFonts w:ascii="Calibri" w:hAnsi="Calibri"/>
        </w:rPr>
        <w:t>de 2019 en 8,4%.</w:t>
      </w:r>
      <w:r>
        <w:rPr>
          <w:rFonts w:ascii="Calibri" w:hAnsi="Calibri"/>
        </w:rPr>
        <w:t xml:space="preserve"> Debe destacarse que el destino de estas transferencias está relacionado mayoritariamente con la ejecución de obras públicas, gastos que debieron postergarse o bien focalizarse al sector sanitario en el marco de las medidas de aislamiento social dispuestas para afrontar la pandemi</w:t>
      </w:r>
      <w:r w:rsidR="00513ECB">
        <w:rPr>
          <w:rFonts w:ascii="Calibri" w:hAnsi="Calibri"/>
        </w:rPr>
        <w:t>a declarada a partir de marzo.</w:t>
      </w:r>
    </w:p>
    <w:p w:rsidR="00A810D9" w:rsidRPr="001928B4" w:rsidRDefault="00A810D9" w:rsidP="00A810D9">
      <w:pPr>
        <w:suppressAutoHyphens/>
        <w:jc w:val="both"/>
        <w:rPr>
          <w:rFonts w:ascii="Calibri" w:hAnsi="Calibri"/>
        </w:rPr>
      </w:pPr>
    </w:p>
    <w:p w:rsidR="00A810D9" w:rsidRPr="001928B4" w:rsidRDefault="00A810D9" w:rsidP="00A810D9">
      <w:pPr>
        <w:suppressAutoHyphens/>
        <w:jc w:val="both"/>
        <w:rPr>
          <w:rFonts w:ascii="Calibri" w:hAnsi="Calibri"/>
        </w:rPr>
      </w:pPr>
      <w:r w:rsidRPr="001928B4">
        <w:rPr>
          <w:rFonts w:ascii="Calibri" w:hAnsi="Calibri"/>
        </w:rPr>
        <w:t>En lo que respecta a los ingresos por Rentas de la Propiedad se observa una disminución interanual de 37,3%</w:t>
      </w:r>
      <w:r>
        <w:rPr>
          <w:rFonts w:ascii="Calibri" w:hAnsi="Calibri"/>
        </w:rPr>
        <w:t xml:space="preserve">; </w:t>
      </w:r>
      <w:r w:rsidRPr="001928B4">
        <w:rPr>
          <w:rFonts w:ascii="Calibri" w:hAnsi="Calibri"/>
        </w:rPr>
        <w:t xml:space="preserve">en tanto que la Disminución de la Inversión Financiera </w:t>
      </w:r>
      <w:r>
        <w:rPr>
          <w:rFonts w:ascii="Calibri" w:hAnsi="Calibri"/>
        </w:rPr>
        <w:t xml:space="preserve">–vinculada principalmente con el Recupero de préstamos- </w:t>
      </w:r>
      <w:r w:rsidRPr="001928B4">
        <w:rPr>
          <w:rFonts w:ascii="Calibri" w:hAnsi="Calibri"/>
        </w:rPr>
        <w:t xml:space="preserve">se incrementa 32,7%, y las Ventas de Bienes y Servicios aumentan 11,6%. Los Recursos Propios de Capital presentan una fuerte caída </w:t>
      </w:r>
      <w:r>
        <w:rPr>
          <w:rFonts w:ascii="Calibri" w:hAnsi="Calibri"/>
        </w:rPr>
        <w:t xml:space="preserve">respecto a igual semestre de 2019 </w:t>
      </w:r>
      <w:r w:rsidRPr="001928B4">
        <w:rPr>
          <w:rFonts w:ascii="Calibri" w:hAnsi="Calibri"/>
        </w:rPr>
        <w:t>(73,1%)</w:t>
      </w:r>
      <w:r>
        <w:rPr>
          <w:rFonts w:ascii="Calibri" w:hAnsi="Calibri"/>
        </w:rPr>
        <w:t xml:space="preserve">, debido a que durante </w:t>
      </w:r>
      <w:r w:rsidR="00643489">
        <w:rPr>
          <w:rFonts w:ascii="Calibri" w:hAnsi="Calibri"/>
        </w:rPr>
        <w:t>dicho período</w:t>
      </w:r>
      <w:r>
        <w:rPr>
          <w:rFonts w:ascii="Calibri" w:hAnsi="Calibri"/>
        </w:rPr>
        <w:t xml:space="preserve"> se </w:t>
      </w:r>
      <w:r w:rsidR="00643489">
        <w:rPr>
          <w:rFonts w:ascii="Calibri" w:hAnsi="Calibri"/>
        </w:rPr>
        <w:t>registró la venta de</w:t>
      </w:r>
      <w:r>
        <w:rPr>
          <w:rFonts w:ascii="Calibri" w:hAnsi="Calibri"/>
        </w:rPr>
        <w:t xml:space="preserve"> </w:t>
      </w:r>
      <w:r w:rsidR="00643489">
        <w:rPr>
          <w:rFonts w:ascii="Calibri" w:hAnsi="Calibri"/>
        </w:rPr>
        <w:t>tierras públicas</w:t>
      </w:r>
      <w:r>
        <w:rPr>
          <w:rFonts w:ascii="Calibri" w:hAnsi="Calibri"/>
        </w:rPr>
        <w:t xml:space="preserve"> a valores significativos. </w:t>
      </w:r>
      <w:r w:rsidRPr="001928B4">
        <w:rPr>
          <w:rFonts w:ascii="Calibri" w:hAnsi="Calibri"/>
        </w:rPr>
        <w:t xml:space="preserve">Corresponde </w:t>
      </w:r>
      <w:r>
        <w:rPr>
          <w:rFonts w:ascii="Calibri" w:hAnsi="Calibri"/>
        </w:rPr>
        <w:t xml:space="preserve">señalar </w:t>
      </w:r>
      <w:r w:rsidRPr="001928B4">
        <w:rPr>
          <w:rFonts w:ascii="Calibri" w:hAnsi="Calibri"/>
        </w:rPr>
        <w:t xml:space="preserve">que el comportamiento de todos estos conceptos tiene escasa relevancia en </w:t>
      </w:r>
      <w:r>
        <w:rPr>
          <w:rFonts w:ascii="Calibri" w:hAnsi="Calibri"/>
        </w:rPr>
        <w:t xml:space="preserve">el de </w:t>
      </w:r>
      <w:r w:rsidRPr="001928B4">
        <w:rPr>
          <w:rFonts w:ascii="Calibri" w:hAnsi="Calibri"/>
        </w:rPr>
        <w:t>los ingresos totales.</w:t>
      </w:r>
    </w:p>
    <w:p w:rsidR="00466D42" w:rsidRPr="00466D42" w:rsidRDefault="00466D42" w:rsidP="00466D42">
      <w:pPr>
        <w:suppressAutoHyphens/>
        <w:jc w:val="both"/>
        <w:rPr>
          <w:rFonts w:ascii="Calibri" w:hAnsi="Calibri"/>
          <w:highlight w:val="yellow"/>
        </w:rPr>
      </w:pPr>
    </w:p>
    <w:p w:rsidR="00A810D9" w:rsidRPr="001928B4" w:rsidRDefault="00A810D9" w:rsidP="00A810D9">
      <w:pPr>
        <w:suppressAutoHyphens/>
        <w:jc w:val="both"/>
        <w:rPr>
          <w:rFonts w:ascii="Calibri" w:hAnsi="Calibri" w:cs="Arial"/>
        </w:rPr>
      </w:pPr>
      <w:r w:rsidRPr="001928B4">
        <w:rPr>
          <w:rFonts w:ascii="Calibri" w:hAnsi="Calibri" w:cs="Arial"/>
        </w:rPr>
        <w:t>El Gráfico 1 muestra la participación de las principales categorías de recursos en el total de ingresos para el consolidado de 24 jurisdicciones acumulado</w:t>
      </w:r>
      <w:r>
        <w:rPr>
          <w:rFonts w:ascii="Calibri" w:hAnsi="Calibri" w:cs="Arial"/>
        </w:rPr>
        <w:t>s</w:t>
      </w:r>
      <w:r w:rsidRPr="001928B4">
        <w:rPr>
          <w:rFonts w:ascii="Calibri" w:hAnsi="Calibri" w:cs="Arial"/>
        </w:rPr>
        <w:t xml:space="preserve"> a junio de 2020.</w:t>
      </w:r>
      <w:r w:rsidRPr="001928B4">
        <w:t xml:space="preserve"> </w:t>
      </w:r>
      <w:r w:rsidRPr="001928B4">
        <w:rPr>
          <w:rFonts w:ascii="Calibri" w:hAnsi="Calibri" w:cs="Arial"/>
        </w:rPr>
        <w:t>Los Ingresos Tributarios aportan 74,8% de las rentas de Provincias y Ciudad de Buenos Aires (45,5% los de origen nacional y 29,3% los de origen provincial) seguidos en importancia por las Contribuciones a la Seguridad Social (10,7%), las Transferencias Corrientes (7,8%), los Ingresos No Tributarios (4,4%), y las Transferencias de Capital (0,6%).</w:t>
      </w:r>
    </w:p>
    <w:p w:rsidR="00A810D9" w:rsidRPr="001928B4" w:rsidRDefault="00A810D9" w:rsidP="00A810D9">
      <w:pPr>
        <w:suppressAutoHyphens/>
        <w:jc w:val="both"/>
        <w:rPr>
          <w:rFonts w:ascii="Calibri" w:hAnsi="Calibri" w:cs="Arial"/>
        </w:rPr>
      </w:pPr>
    </w:p>
    <w:p w:rsidR="00A810D9" w:rsidRDefault="00A810D9" w:rsidP="00A810D9">
      <w:pPr>
        <w:suppressAutoHyphens/>
        <w:jc w:val="both"/>
        <w:rPr>
          <w:rFonts w:ascii="Calibri" w:hAnsi="Calibri" w:cs="Arial"/>
        </w:rPr>
      </w:pPr>
      <w:r w:rsidRPr="001928B4">
        <w:rPr>
          <w:rFonts w:ascii="Calibri" w:hAnsi="Calibri" w:cs="Arial"/>
        </w:rPr>
        <w:t xml:space="preserve">El indicador de </w:t>
      </w:r>
      <w:r w:rsidRPr="001928B4">
        <w:rPr>
          <w:rFonts w:ascii="Calibri" w:hAnsi="Calibri" w:cs="Arial"/>
          <w:i/>
        </w:rPr>
        <w:t>autofinanciamiento</w:t>
      </w:r>
      <w:r w:rsidRPr="001928B4">
        <w:rPr>
          <w:rFonts w:ascii="Calibri" w:hAnsi="Calibri" w:cs="Arial"/>
        </w:rPr>
        <w:t xml:space="preserve"> provincial, definido a partir de la relación entre los ingresos provinciales</w:t>
      </w:r>
      <w:r w:rsidRPr="001928B4">
        <w:rPr>
          <w:rStyle w:val="Refdenotaalpie"/>
          <w:rFonts w:ascii="Calibri" w:hAnsi="Calibri" w:cs="Arial"/>
        </w:rPr>
        <w:footnoteReference w:id="2"/>
      </w:r>
      <w:r w:rsidRPr="001928B4">
        <w:rPr>
          <w:rFonts w:ascii="Calibri" w:hAnsi="Calibri" w:cs="Arial"/>
        </w:rPr>
        <w:t xml:space="preserve"> y los ingresos totales, alcanzó 46,</w:t>
      </w:r>
      <w:r>
        <w:rPr>
          <w:rFonts w:ascii="Calibri" w:hAnsi="Calibri" w:cs="Arial"/>
        </w:rPr>
        <w:t>0</w:t>
      </w:r>
      <w:r w:rsidRPr="001928B4">
        <w:rPr>
          <w:rFonts w:ascii="Calibri" w:hAnsi="Calibri" w:cs="Arial"/>
        </w:rPr>
        <w:t xml:space="preserve">% </w:t>
      </w:r>
      <w:r>
        <w:rPr>
          <w:rFonts w:ascii="Calibri" w:hAnsi="Calibri" w:cs="Arial"/>
        </w:rPr>
        <w:t xml:space="preserve">en el </w:t>
      </w:r>
      <w:r w:rsidRPr="001928B4">
        <w:rPr>
          <w:rFonts w:ascii="Calibri" w:hAnsi="Calibri" w:cs="Arial"/>
        </w:rPr>
        <w:t xml:space="preserve">primer semestre del 2020, marcando una caída respecto del registro de igual período </w:t>
      </w:r>
      <w:r w:rsidR="00513ECB">
        <w:rPr>
          <w:rFonts w:ascii="Calibri" w:hAnsi="Calibri" w:cs="Arial"/>
        </w:rPr>
        <w:t>de</w:t>
      </w:r>
      <w:r w:rsidRPr="001928B4">
        <w:rPr>
          <w:rFonts w:ascii="Calibri" w:hAnsi="Calibri" w:cs="Arial"/>
        </w:rPr>
        <w:t xml:space="preserve"> 201</w:t>
      </w:r>
      <w:r>
        <w:rPr>
          <w:rFonts w:ascii="Calibri" w:hAnsi="Calibri" w:cs="Arial"/>
        </w:rPr>
        <w:t>9</w:t>
      </w:r>
      <w:r w:rsidRPr="001928B4">
        <w:rPr>
          <w:rFonts w:ascii="Calibri" w:hAnsi="Calibri" w:cs="Arial"/>
        </w:rPr>
        <w:t xml:space="preserve"> (48,</w:t>
      </w:r>
      <w:r>
        <w:rPr>
          <w:rFonts w:ascii="Calibri" w:hAnsi="Calibri" w:cs="Arial"/>
        </w:rPr>
        <w:t>3</w:t>
      </w:r>
      <w:r w:rsidRPr="001928B4">
        <w:rPr>
          <w:rFonts w:ascii="Calibri" w:hAnsi="Calibri" w:cs="Arial"/>
        </w:rPr>
        <w:t>%).</w:t>
      </w:r>
    </w:p>
    <w:p w:rsidR="00643489" w:rsidRPr="005704A3" w:rsidRDefault="00643489" w:rsidP="00A810D9">
      <w:pPr>
        <w:suppressAutoHyphens/>
        <w:jc w:val="both"/>
        <w:rPr>
          <w:rFonts w:ascii="Calibri" w:hAnsi="Calibri" w:cs="Arial"/>
        </w:rPr>
      </w:pPr>
    </w:p>
    <w:p w:rsidR="0012107C" w:rsidRPr="005704A3" w:rsidRDefault="00A810D9" w:rsidP="00227F8B">
      <w:pPr>
        <w:suppressAutoHyphens/>
        <w:jc w:val="center"/>
        <w:rPr>
          <w:rFonts w:ascii="Calibri" w:hAnsi="Calibri" w:cs="Arial"/>
        </w:rPr>
      </w:pPr>
      <w:r>
        <w:rPr>
          <w:rFonts w:ascii="Calibri" w:hAnsi="Calibri"/>
        </w:rPr>
        <w:br w:type="page"/>
      </w:r>
      <w:r w:rsidR="0012107C" w:rsidRPr="005704A3">
        <w:rPr>
          <w:rFonts w:ascii="Calibri" w:hAnsi="Calibri" w:cs="Arial"/>
          <w:b/>
        </w:rPr>
        <w:lastRenderedPageBreak/>
        <w:t>Gráfico 1.</w:t>
      </w:r>
      <w:r w:rsidR="0012107C" w:rsidRPr="005704A3">
        <w:rPr>
          <w:rFonts w:ascii="Calibri" w:hAnsi="Calibri" w:cs="Arial"/>
        </w:rPr>
        <w:t xml:space="preserve"> Estructura porcentual de los ingresos</w:t>
      </w:r>
    </w:p>
    <w:p w:rsidR="0012107C" w:rsidRPr="005704A3" w:rsidRDefault="0012107C" w:rsidP="00227F8B">
      <w:pPr>
        <w:suppressAutoHyphens/>
        <w:spacing w:after="120"/>
        <w:jc w:val="center"/>
        <w:rPr>
          <w:rFonts w:ascii="Calibri" w:hAnsi="Calibri" w:cs="Arial"/>
        </w:rPr>
      </w:pPr>
      <w:r w:rsidRPr="005704A3">
        <w:rPr>
          <w:rFonts w:ascii="Calibri" w:hAnsi="Calibri" w:cs="Arial"/>
        </w:rPr>
        <w:t>I Semestre 20</w:t>
      </w:r>
      <w:r w:rsidR="00D342BB">
        <w:rPr>
          <w:rFonts w:ascii="Calibri" w:hAnsi="Calibri" w:cs="Arial"/>
        </w:rPr>
        <w:t>20</w:t>
      </w:r>
    </w:p>
    <w:p w:rsidR="0012107C" w:rsidRPr="00CC6F4C" w:rsidRDefault="009B4274" w:rsidP="00227F8B">
      <w:pPr>
        <w:suppressAutoHyphens/>
        <w:spacing w:after="120"/>
        <w:jc w:val="center"/>
        <w:rPr>
          <w:rFonts w:ascii="Calibri" w:hAnsi="Calibri" w:cs="Arial"/>
          <w:highlight w:val="yellow"/>
        </w:rPr>
      </w:pPr>
      <w:r>
        <w:rPr>
          <w:rFonts w:ascii="Calibri" w:hAnsi="Calibri" w:cs="Arial"/>
        </w:rPr>
        <w:pict w14:anchorId="4D05346B">
          <v:shape id="_x0000_i1028" type="#_x0000_t75" style="width:432.75pt;height:266.25pt;mso-left-percent:-10001;mso-top-percent:-10001;mso-position-horizontal:absolute;mso-position-horizontal-relative:char;mso-position-vertical:absolute;mso-position-vertical-relative:line;mso-left-percent:-10001;mso-top-percent:-10001">
            <v:imagedata r:id="rId13" o:title=""/>
          </v:shape>
        </w:pict>
      </w:r>
    </w:p>
    <w:p w:rsidR="0012107C" w:rsidRPr="005704A3" w:rsidRDefault="0012107C" w:rsidP="00A30F16">
      <w:pPr>
        <w:suppressAutoHyphens/>
        <w:ind w:left="426" w:right="425"/>
        <w:jc w:val="both"/>
        <w:rPr>
          <w:rFonts w:ascii="Calibri" w:hAnsi="Calibri"/>
          <w:sz w:val="20"/>
          <w:szCs w:val="20"/>
        </w:rPr>
      </w:pPr>
      <w:r w:rsidRPr="005704A3">
        <w:rPr>
          <w:rFonts w:ascii="Calibri" w:hAnsi="Calibri"/>
          <w:b/>
          <w:sz w:val="20"/>
          <w:szCs w:val="20"/>
        </w:rPr>
        <w:t xml:space="preserve">(1): </w:t>
      </w:r>
      <w:r w:rsidRPr="005704A3">
        <w:rPr>
          <w:rFonts w:ascii="Calibri" w:hAnsi="Calibri"/>
          <w:sz w:val="20"/>
          <w:szCs w:val="20"/>
        </w:rPr>
        <w:t>Otros ingresos provinciales, comprende a Rentas de la Propiedad, Venta de Bienes y Servicios de la Administración Pública, Disminución de la Inversión Financiera e Ingresos de Capital propios.</w:t>
      </w:r>
    </w:p>
    <w:p w:rsidR="0012107C" w:rsidRPr="005704A3" w:rsidRDefault="0012107C" w:rsidP="004D2955">
      <w:pPr>
        <w:suppressAutoHyphens/>
        <w:ind w:left="426"/>
        <w:jc w:val="both"/>
        <w:rPr>
          <w:rFonts w:ascii="Calibri" w:hAnsi="Calibri"/>
          <w:sz w:val="20"/>
          <w:szCs w:val="20"/>
        </w:rPr>
      </w:pPr>
      <w:r w:rsidRPr="005704A3">
        <w:rPr>
          <w:rFonts w:ascii="Calibri" w:hAnsi="Calibri"/>
          <w:b/>
          <w:sz w:val="20"/>
          <w:szCs w:val="20"/>
        </w:rPr>
        <w:t>Fuente</w:t>
      </w:r>
      <w:r w:rsidRPr="005704A3">
        <w:rPr>
          <w:rFonts w:ascii="Calibri" w:hAnsi="Calibri"/>
          <w:sz w:val="20"/>
          <w:szCs w:val="20"/>
        </w:rPr>
        <w:t>: Secretaria de Hacienda en base a información provista por las jurisdicciones</w:t>
      </w:r>
    </w:p>
    <w:p w:rsidR="0012107C" w:rsidRPr="00CC6F4C" w:rsidRDefault="0012107C" w:rsidP="007606A7">
      <w:pPr>
        <w:suppressAutoHyphens/>
        <w:jc w:val="both"/>
        <w:rPr>
          <w:rFonts w:ascii="Calibri" w:hAnsi="Calibri"/>
          <w:highlight w:val="yellow"/>
        </w:rPr>
      </w:pPr>
    </w:p>
    <w:p w:rsidR="0012107C" w:rsidRDefault="0012107C" w:rsidP="007606A7">
      <w:pPr>
        <w:suppressAutoHyphens/>
        <w:jc w:val="both"/>
        <w:rPr>
          <w:rFonts w:ascii="Calibri" w:hAnsi="Calibri"/>
          <w:highlight w:val="yellow"/>
        </w:rPr>
      </w:pP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12" w:name="_Toc98777233"/>
      <w:r w:rsidRPr="002F6510">
        <w:rPr>
          <w:rFonts w:ascii="Calibri" w:hAnsi="Calibri" w:cs="Times New Roman"/>
          <w:color w:val="595959"/>
          <w:sz w:val="28"/>
          <w:szCs w:val="28"/>
        </w:rPr>
        <w:t>4. GASTOS</w:t>
      </w:r>
      <w:bookmarkEnd w:id="12"/>
    </w:p>
    <w:p w:rsidR="0012107C" w:rsidRDefault="0012107C" w:rsidP="009D5F8A">
      <w:pPr>
        <w:pBdr>
          <w:top w:val="single" w:sz="4" w:space="1" w:color="auto"/>
        </w:pBdr>
        <w:suppressAutoHyphens/>
        <w:jc w:val="both"/>
        <w:rPr>
          <w:rFonts w:ascii="Calibri" w:hAnsi="Calibri"/>
        </w:rPr>
      </w:pPr>
      <w:bookmarkStart w:id="13" w:name="_Toc532576017"/>
      <w:bookmarkStart w:id="14" w:name="_Toc532576463"/>
      <w:bookmarkStart w:id="15" w:name="_Toc532576664"/>
      <w:bookmarkStart w:id="16" w:name="_Toc532577060"/>
      <w:bookmarkStart w:id="17" w:name="_Toc532577142"/>
      <w:bookmarkStart w:id="18" w:name="_Toc532577204"/>
      <w:bookmarkStart w:id="19" w:name="_Toc532578378"/>
    </w:p>
    <w:p w:rsidR="0012107C" w:rsidRPr="002F6510" w:rsidRDefault="0012107C" w:rsidP="002F6510">
      <w:pPr>
        <w:pStyle w:val="TDC3"/>
        <w:rPr>
          <w:rFonts w:cs="Times New Roman"/>
        </w:rPr>
      </w:pPr>
      <w:bookmarkStart w:id="20" w:name="_Toc98777234"/>
      <w:r w:rsidRPr="002F6510">
        <w:rPr>
          <w:rFonts w:cs="Times New Roman"/>
        </w:rPr>
        <w:t>4.1. Análisis del Gasto según Clasificación Económica y por Objeto</w:t>
      </w:r>
      <w:bookmarkEnd w:id="13"/>
      <w:bookmarkEnd w:id="14"/>
      <w:bookmarkEnd w:id="15"/>
      <w:bookmarkEnd w:id="16"/>
      <w:bookmarkEnd w:id="17"/>
      <w:bookmarkEnd w:id="18"/>
      <w:bookmarkEnd w:id="19"/>
      <w:bookmarkEnd w:id="20"/>
    </w:p>
    <w:p w:rsidR="0012107C" w:rsidRDefault="0012107C" w:rsidP="0076644C">
      <w:pPr>
        <w:suppressAutoHyphens/>
        <w:jc w:val="both"/>
        <w:rPr>
          <w:rFonts w:ascii="Calibri" w:hAnsi="Calibri"/>
        </w:rPr>
      </w:pPr>
    </w:p>
    <w:p w:rsidR="0012107C" w:rsidRPr="00A01F43" w:rsidRDefault="0012107C" w:rsidP="0076644C">
      <w:pPr>
        <w:suppressAutoHyphens/>
        <w:jc w:val="both"/>
        <w:rPr>
          <w:rFonts w:ascii="Calibri" w:hAnsi="Calibri"/>
        </w:rPr>
      </w:pPr>
      <w:r w:rsidRPr="0078103B">
        <w:rPr>
          <w:rFonts w:ascii="Calibri" w:hAnsi="Calibri"/>
        </w:rPr>
        <w:t>El gasto total acumulado al primer semestre de 20</w:t>
      </w:r>
      <w:r w:rsidR="0078103B" w:rsidRPr="0078103B">
        <w:rPr>
          <w:rFonts w:ascii="Calibri" w:hAnsi="Calibri"/>
        </w:rPr>
        <w:t>20</w:t>
      </w:r>
      <w:r w:rsidRPr="0078103B">
        <w:rPr>
          <w:rFonts w:ascii="Calibri" w:hAnsi="Calibri"/>
        </w:rPr>
        <w:t xml:space="preserve"> para el consolidado de 24 jurisdicciones fue de </w:t>
      </w:r>
      <w:r w:rsidR="00953115">
        <w:rPr>
          <w:rFonts w:ascii="Calibri" w:hAnsi="Calibri"/>
        </w:rPr>
        <w:t xml:space="preserve">$ </w:t>
      </w:r>
      <w:r w:rsidR="0078103B" w:rsidRPr="0078103B">
        <w:rPr>
          <w:rFonts w:ascii="Calibri" w:hAnsi="Calibri"/>
        </w:rPr>
        <w:t>2.078.600</w:t>
      </w:r>
      <w:r w:rsidRPr="0078103B">
        <w:rPr>
          <w:rFonts w:ascii="Calibri" w:hAnsi="Calibri"/>
        </w:rPr>
        <w:t xml:space="preserve"> millones y registró un crecimiento de </w:t>
      </w:r>
      <w:r w:rsidR="0078103B" w:rsidRPr="0078103B">
        <w:rPr>
          <w:rFonts w:ascii="Calibri" w:hAnsi="Calibri"/>
        </w:rPr>
        <w:t>30,4</w:t>
      </w:r>
      <w:r w:rsidR="00953115">
        <w:rPr>
          <w:rFonts w:ascii="Calibri" w:hAnsi="Calibri"/>
        </w:rPr>
        <w:t>%</w:t>
      </w:r>
      <w:r w:rsidRPr="0078103B">
        <w:rPr>
          <w:rFonts w:ascii="Calibri" w:hAnsi="Calibri"/>
        </w:rPr>
        <w:t xml:space="preserve"> </w:t>
      </w:r>
      <w:r w:rsidR="00643489">
        <w:rPr>
          <w:rFonts w:ascii="Calibri" w:hAnsi="Calibri"/>
        </w:rPr>
        <w:t xml:space="preserve">con </w:t>
      </w:r>
      <w:r w:rsidRPr="0078103B">
        <w:rPr>
          <w:rFonts w:ascii="Calibri" w:hAnsi="Calibri"/>
        </w:rPr>
        <w:t>respecto a igual período del año anterior (ver Cuadro 3).</w:t>
      </w:r>
    </w:p>
    <w:p w:rsidR="0012107C" w:rsidRPr="00A01F43" w:rsidRDefault="0012107C" w:rsidP="00037510">
      <w:pPr>
        <w:suppressAutoHyphens/>
        <w:jc w:val="both"/>
        <w:rPr>
          <w:rFonts w:ascii="Calibri" w:hAnsi="Calibri" w:cs="Arial"/>
        </w:rPr>
      </w:pPr>
    </w:p>
    <w:p w:rsidR="0012107C" w:rsidRPr="00A01F43" w:rsidRDefault="0012107C" w:rsidP="00037510">
      <w:pPr>
        <w:suppressAutoHyphens/>
        <w:jc w:val="both"/>
        <w:rPr>
          <w:rFonts w:ascii="Calibri" w:hAnsi="Calibri" w:cs="Arial"/>
        </w:rPr>
      </w:pPr>
      <w:r w:rsidRPr="00C8371B">
        <w:rPr>
          <w:rFonts w:ascii="Calibri" w:hAnsi="Calibri" w:cs="Arial"/>
        </w:rPr>
        <w:t xml:space="preserve">El principal componente del Gasto Total es la partida Personal, cuya dinámica registra una suba de </w:t>
      </w:r>
      <w:r w:rsidR="00C8371B" w:rsidRPr="00C8371B">
        <w:rPr>
          <w:rFonts w:ascii="Calibri" w:hAnsi="Calibri" w:cs="Arial"/>
        </w:rPr>
        <w:t>38,0</w:t>
      </w:r>
      <w:r w:rsidR="00953115">
        <w:rPr>
          <w:rFonts w:ascii="Calibri" w:hAnsi="Calibri" w:cs="Arial"/>
        </w:rPr>
        <w:t>%</w:t>
      </w:r>
      <w:r w:rsidRPr="00C8371B">
        <w:rPr>
          <w:rFonts w:ascii="Calibri" w:hAnsi="Calibri" w:cs="Arial"/>
        </w:rPr>
        <w:t xml:space="preserve"> en el primer semestre de 20</w:t>
      </w:r>
      <w:r w:rsidR="00C8371B" w:rsidRPr="00C8371B">
        <w:rPr>
          <w:rFonts w:ascii="Calibri" w:hAnsi="Calibri" w:cs="Arial"/>
        </w:rPr>
        <w:t>20</w:t>
      </w:r>
      <w:r w:rsidRPr="00C8371B">
        <w:rPr>
          <w:rFonts w:ascii="Calibri" w:hAnsi="Calibri" w:cs="Arial"/>
        </w:rPr>
        <w:t xml:space="preserve"> y explica </w:t>
      </w:r>
      <w:r w:rsidR="00C8371B" w:rsidRPr="00C8371B">
        <w:rPr>
          <w:rFonts w:ascii="Calibri" w:hAnsi="Calibri" w:cs="Arial"/>
        </w:rPr>
        <w:t>56,6</w:t>
      </w:r>
      <w:r w:rsidR="00953115">
        <w:rPr>
          <w:rFonts w:ascii="Calibri" w:hAnsi="Calibri" w:cs="Arial"/>
        </w:rPr>
        <w:t>%</w:t>
      </w:r>
      <w:r w:rsidRPr="00C8371B">
        <w:rPr>
          <w:rFonts w:ascii="Calibri" w:hAnsi="Calibri" w:cs="Arial"/>
        </w:rPr>
        <w:t xml:space="preserve"> de la expansión del Total de Egresos (ver </w:t>
      </w:r>
      <w:r w:rsidRPr="00B43B14">
        <w:rPr>
          <w:rFonts w:ascii="Calibri" w:hAnsi="Calibri" w:cs="Arial"/>
        </w:rPr>
        <w:t xml:space="preserve">Gráfico 2). Este incremento refleja la variación de la planta de empleados públicos provinciales y el efecto de la política salarial, </w:t>
      </w:r>
      <w:r w:rsidR="00B43B14" w:rsidRPr="00B43B14">
        <w:rPr>
          <w:rFonts w:ascii="Calibri" w:hAnsi="Calibri" w:cs="Arial"/>
        </w:rPr>
        <w:t>que al primer semestre aún refleja el impacto de</w:t>
      </w:r>
      <w:r w:rsidRPr="00B43B14">
        <w:rPr>
          <w:rFonts w:ascii="Calibri" w:hAnsi="Calibri" w:cs="Arial"/>
        </w:rPr>
        <w:t xml:space="preserve"> las mejoras </w:t>
      </w:r>
      <w:r w:rsidR="00B43B14" w:rsidRPr="00B43B14">
        <w:rPr>
          <w:rFonts w:ascii="Calibri" w:hAnsi="Calibri" w:cs="Arial"/>
        </w:rPr>
        <w:t xml:space="preserve">iniciales </w:t>
      </w:r>
      <w:r w:rsidRPr="00B43B14">
        <w:rPr>
          <w:rFonts w:ascii="Calibri" w:hAnsi="Calibri" w:cs="Arial"/>
        </w:rPr>
        <w:t>otorgadas</w:t>
      </w:r>
      <w:r w:rsidR="00B43B14" w:rsidRPr="00B43B14">
        <w:rPr>
          <w:rFonts w:ascii="Calibri" w:hAnsi="Calibri" w:cs="Arial"/>
        </w:rPr>
        <w:t>, que incluyeron la</w:t>
      </w:r>
      <w:r w:rsidRPr="00B43B14">
        <w:rPr>
          <w:rFonts w:ascii="Calibri" w:hAnsi="Calibri" w:cs="Arial"/>
        </w:rPr>
        <w:t xml:space="preserve"> recomposición por el atraso de los salarios frente a la inflación en 201</w:t>
      </w:r>
      <w:r w:rsidR="00B43B14" w:rsidRPr="00B43B14">
        <w:rPr>
          <w:rFonts w:ascii="Calibri" w:hAnsi="Calibri" w:cs="Arial"/>
        </w:rPr>
        <w:t>9</w:t>
      </w:r>
      <w:r w:rsidRPr="00B43B14">
        <w:rPr>
          <w:rFonts w:ascii="Calibri" w:hAnsi="Calibri" w:cs="Arial"/>
        </w:rPr>
        <w:t xml:space="preserve">, </w:t>
      </w:r>
      <w:r w:rsidR="00B43B14" w:rsidRPr="00B43B14">
        <w:rPr>
          <w:rFonts w:ascii="Calibri" w:hAnsi="Calibri" w:cs="Arial"/>
        </w:rPr>
        <w:t xml:space="preserve">así </w:t>
      </w:r>
      <w:r w:rsidRPr="00B43B14">
        <w:rPr>
          <w:rFonts w:ascii="Calibri" w:hAnsi="Calibri" w:cs="Arial"/>
        </w:rPr>
        <w:t xml:space="preserve">como </w:t>
      </w:r>
      <w:r w:rsidR="00B43B14" w:rsidRPr="00B43B14">
        <w:rPr>
          <w:rFonts w:ascii="Calibri" w:hAnsi="Calibri" w:cs="Arial"/>
        </w:rPr>
        <w:t>la aplicación de</w:t>
      </w:r>
      <w:r w:rsidRPr="00B43B14">
        <w:rPr>
          <w:rFonts w:ascii="Calibri" w:hAnsi="Calibri" w:cs="Arial"/>
        </w:rPr>
        <w:t xml:space="preserve"> los aumentos acordados </w:t>
      </w:r>
      <w:r w:rsidR="00B43B14" w:rsidRPr="00B43B14">
        <w:rPr>
          <w:rFonts w:ascii="Calibri" w:hAnsi="Calibri" w:cs="Arial"/>
        </w:rPr>
        <w:t>durante</w:t>
      </w:r>
      <w:r w:rsidRPr="00B43B14">
        <w:rPr>
          <w:rFonts w:ascii="Calibri" w:hAnsi="Calibri" w:cs="Arial"/>
        </w:rPr>
        <w:t xml:space="preserve"> el primer </w:t>
      </w:r>
      <w:r w:rsidR="00B43B14" w:rsidRPr="00B43B14">
        <w:rPr>
          <w:rFonts w:ascii="Calibri" w:hAnsi="Calibri" w:cs="Arial"/>
        </w:rPr>
        <w:t>tri</w:t>
      </w:r>
      <w:r w:rsidRPr="00B43B14">
        <w:rPr>
          <w:rFonts w:ascii="Calibri" w:hAnsi="Calibri" w:cs="Arial"/>
        </w:rPr>
        <w:t>mestre de 20</w:t>
      </w:r>
      <w:r w:rsidR="00B43B14" w:rsidRPr="00B43B14">
        <w:rPr>
          <w:rFonts w:ascii="Calibri" w:hAnsi="Calibri" w:cs="Arial"/>
        </w:rPr>
        <w:t>20</w:t>
      </w:r>
      <w:r w:rsidRPr="00B43B14">
        <w:rPr>
          <w:rFonts w:ascii="Calibri" w:hAnsi="Calibri" w:cs="Arial"/>
        </w:rPr>
        <w:t xml:space="preserve">. </w:t>
      </w:r>
      <w:r w:rsidR="00B43B14" w:rsidRPr="00B43B14">
        <w:rPr>
          <w:rFonts w:ascii="Calibri" w:hAnsi="Calibri" w:cs="Arial"/>
        </w:rPr>
        <w:t xml:space="preserve">Adicionalmente, impactan en las remuneraciones las medidas de emergencia dispuestas por el Gobierno Nacional </w:t>
      </w:r>
      <w:r w:rsidR="00B43B14">
        <w:rPr>
          <w:rFonts w:ascii="Calibri" w:hAnsi="Calibri" w:cs="Arial"/>
        </w:rPr>
        <w:t xml:space="preserve">–en el caso de la Educación, </w:t>
      </w:r>
      <w:r w:rsidR="00B43B14" w:rsidRPr="00B43B14">
        <w:rPr>
          <w:rFonts w:ascii="Calibri" w:hAnsi="Calibri" w:cs="Arial"/>
        </w:rPr>
        <w:t xml:space="preserve">al duplicar el suplemento salarial del FoNID-, así </w:t>
      </w:r>
      <w:r w:rsidR="00B43B14" w:rsidRPr="00B43B14">
        <w:rPr>
          <w:rFonts w:ascii="Calibri" w:hAnsi="Calibri" w:cs="Arial"/>
        </w:rPr>
        <w:lastRenderedPageBreak/>
        <w:t>como las bonificaciones especiales asumidas por algunas Provincias al personal de Salud y Seguridad, mayormente involucrado en la gestión de la emergencia sanitaria. No obstante, la mayoría de las jurisdicciones optó por suspender, en el marco de dicha crisis, la aplicación de mejoras comprometidas a partir del segundo trimestre a otros escalafones, particularmente los involucrados en la administración general</w:t>
      </w:r>
      <w:r w:rsidRPr="00B43B14">
        <w:rPr>
          <w:rFonts w:ascii="Calibri" w:hAnsi="Calibri" w:cs="Arial"/>
        </w:rPr>
        <w:t>.</w:t>
      </w:r>
    </w:p>
    <w:p w:rsidR="0012107C" w:rsidRPr="00D41AF0" w:rsidRDefault="0012107C" w:rsidP="00037510">
      <w:pPr>
        <w:suppressAutoHyphens/>
        <w:jc w:val="both"/>
        <w:rPr>
          <w:rFonts w:ascii="Calibri" w:hAnsi="Calibri"/>
          <w:highlight w:val="yellow"/>
        </w:rPr>
      </w:pPr>
    </w:p>
    <w:p w:rsidR="0012107C" w:rsidRPr="00F133D6" w:rsidRDefault="0012107C" w:rsidP="00037510">
      <w:pPr>
        <w:suppressAutoHyphens/>
        <w:jc w:val="center"/>
        <w:rPr>
          <w:rFonts w:ascii="Calibri" w:hAnsi="Calibri"/>
        </w:rPr>
      </w:pPr>
      <w:r w:rsidRPr="00F133D6">
        <w:rPr>
          <w:rFonts w:ascii="Calibri" w:hAnsi="Calibri"/>
          <w:b/>
        </w:rPr>
        <w:t xml:space="preserve">Cuadro </w:t>
      </w:r>
      <w:r>
        <w:rPr>
          <w:rFonts w:ascii="Calibri" w:hAnsi="Calibri"/>
          <w:b/>
        </w:rPr>
        <w:t>3</w:t>
      </w:r>
      <w:r w:rsidRPr="00F133D6">
        <w:rPr>
          <w:rFonts w:ascii="Calibri" w:hAnsi="Calibri"/>
          <w:b/>
        </w:rPr>
        <w:t>.</w:t>
      </w:r>
      <w:r w:rsidRPr="00F133D6">
        <w:rPr>
          <w:rFonts w:ascii="Calibri" w:hAnsi="Calibri"/>
        </w:rPr>
        <w:t xml:space="preserve"> Gastos totales de la APNF</w:t>
      </w:r>
    </w:p>
    <w:p w:rsidR="0012107C" w:rsidRPr="00F133D6" w:rsidRDefault="0012107C" w:rsidP="00037510">
      <w:pPr>
        <w:suppressAutoHyphens/>
        <w:jc w:val="center"/>
        <w:rPr>
          <w:rFonts w:ascii="Calibri" w:hAnsi="Calibri"/>
        </w:rPr>
      </w:pPr>
      <w:r>
        <w:rPr>
          <w:rFonts w:ascii="Calibri" w:hAnsi="Calibri"/>
        </w:rPr>
        <w:t xml:space="preserve">Comparativo I Semestre </w:t>
      </w:r>
      <w:r w:rsidR="00D342BB">
        <w:rPr>
          <w:rFonts w:ascii="Calibri" w:hAnsi="Calibri"/>
        </w:rPr>
        <w:t>2020-2019</w:t>
      </w:r>
    </w:p>
    <w:p w:rsidR="0012107C" w:rsidRPr="00696972" w:rsidRDefault="0012107C" w:rsidP="00037510">
      <w:pPr>
        <w:suppressAutoHyphens/>
        <w:spacing w:after="120"/>
        <w:jc w:val="center"/>
        <w:rPr>
          <w:rFonts w:ascii="Calibri" w:hAnsi="Calibri"/>
        </w:rPr>
      </w:pPr>
      <w:r>
        <w:rPr>
          <w:rFonts w:ascii="Calibri" w:hAnsi="Calibri"/>
        </w:rPr>
        <w:t>E</w:t>
      </w:r>
      <w:r w:rsidRPr="00F133D6">
        <w:rPr>
          <w:rFonts w:ascii="Calibri" w:hAnsi="Calibri"/>
        </w:rPr>
        <w:t>n millones de pesos</w:t>
      </w:r>
    </w:p>
    <w:p w:rsidR="0012107C" w:rsidRDefault="009B4274" w:rsidP="00037510">
      <w:pPr>
        <w:suppressAutoHyphens/>
        <w:jc w:val="center"/>
        <w:rPr>
          <w:rFonts w:ascii="Calibri" w:hAnsi="Calibri"/>
          <w:sz w:val="20"/>
          <w:szCs w:val="20"/>
        </w:rPr>
      </w:pPr>
      <w:r>
        <w:pict>
          <v:shape id="_x0000_i1029" type="#_x0000_t75" style="width:443.25pt;height:285.75pt">
            <v:imagedata r:id="rId14" o:title=""/>
          </v:shape>
        </w:pict>
      </w:r>
    </w:p>
    <w:p w:rsidR="0012107C" w:rsidRDefault="0012107C" w:rsidP="00037510">
      <w:pPr>
        <w:suppressAutoHyphens/>
        <w:ind w:left="426"/>
        <w:jc w:val="both"/>
        <w:rPr>
          <w:rFonts w:ascii="Calibri" w:hAnsi="Calibri"/>
          <w:sz w:val="20"/>
          <w:szCs w:val="20"/>
        </w:rPr>
      </w:pPr>
      <w:r w:rsidRPr="00227F8B">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F378FC" w:rsidRDefault="0012107C" w:rsidP="00C03CB5">
      <w:pPr>
        <w:suppressAutoHyphens/>
        <w:jc w:val="both"/>
        <w:rPr>
          <w:rFonts w:ascii="Calibri" w:hAnsi="Calibri"/>
          <w:highlight w:val="yellow"/>
        </w:rPr>
      </w:pPr>
    </w:p>
    <w:p w:rsidR="00AF17DD" w:rsidRPr="00BF63B6" w:rsidRDefault="00AF17DD" w:rsidP="00AF17DD">
      <w:pPr>
        <w:suppressAutoHyphens/>
        <w:jc w:val="both"/>
        <w:rPr>
          <w:rFonts w:ascii="Calibri" w:hAnsi="Calibri"/>
        </w:rPr>
      </w:pPr>
      <w:r w:rsidRPr="00BF63B6">
        <w:rPr>
          <w:rFonts w:ascii="Calibri" w:hAnsi="Calibri"/>
        </w:rPr>
        <w:t>Asimismo, la política salarial convenida para los agentes activos de la APNF, repercute por efecto de la movilidad previsional en los haberes jubilatorios (jubilaciones y pensiones en aquellas provincias que conservan sus cajas previsionales</w:t>
      </w:r>
      <w:r w:rsidRPr="00BF63B6">
        <w:rPr>
          <w:rFonts w:ascii="Calibri" w:hAnsi="Calibri"/>
          <w:vertAlign w:val="superscript"/>
        </w:rPr>
        <w:footnoteReference w:id="3"/>
      </w:r>
      <w:r w:rsidRPr="00BF63B6">
        <w:rPr>
          <w:rFonts w:ascii="Calibri" w:hAnsi="Calibri"/>
        </w:rPr>
        <w:t xml:space="preserve">) al igual que la decisión de algunas jurisdicciones de acompañar con mejoras en los haberes mínimos el incremento del Salario Mínimo Vital y Móvil. La partida Prestaciones a la Seguridad Social tuvo un crecimiento de </w:t>
      </w:r>
      <w:r w:rsidR="001F792B" w:rsidRPr="00BF63B6">
        <w:rPr>
          <w:rFonts w:ascii="Calibri" w:hAnsi="Calibri"/>
        </w:rPr>
        <w:t>43,4</w:t>
      </w:r>
      <w:r w:rsidR="00953115">
        <w:rPr>
          <w:rFonts w:ascii="Calibri" w:hAnsi="Calibri"/>
        </w:rPr>
        <w:t>%</w:t>
      </w:r>
      <w:r w:rsidRPr="00BF63B6">
        <w:rPr>
          <w:rFonts w:ascii="Calibri" w:hAnsi="Calibri"/>
        </w:rPr>
        <w:t xml:space="preserve"> en el cual también contribuyó la política de estímulo a la jubilación de empleados provinciales antes mencionada.</w:t>
      </w:r>
    </w:p>
    <w:p w:rsidR="00AF17DD" w:rsidRPr="00D342BB" w:rsidRDefault="00AF17DD" w:rsidP="00AF17DD">
      <w:pPr>
        <w:suppressAutoHyphens/>
        <w:jc w:val="both"/>
        <w:rPr>
          <w:rFonts w:ascii="Calibri" w:hAnsi="Calibri"/>
          <w:highlight w:val="yellow"/>
        </w:rPr>
      </w:pPr>
    </w:p>
    <w:p w:rsidR="00AF17DD" w:rsidRPr="001F792B" w:rsidRDefault="00AF17DD" w:rsidP="00AF17DD">
      <w:pPr>
        <w:suppressAutoHyphens/>
        <w:jc w:val="both"/>
        <w:rPr>
          <w:rFonts w:ascii="Calibri" w:hAnsi="Calibri"/>
        </w:rPr>
      </w:pPr>
      <w:r w:rsidRPr="001F792B">
        <w:rPr>
          <w:rFonts w:ascii="Calibri" w:hAnsi="Calibri"/>
        </w:rPr>
        <w:lastRenderedPageBreak/>
        <w:t xml:space="preserve">Por otra parte, los gastos por Transferencias Corrientes registraron un incremento de </w:t>
      </w:r>
      <w:r w:rsidR="001F792B" w:rsidRPr="001F792B">
        <w:rPr>
          <w:rFonts w:ascii="Calibri" w:hAnsi="Calibri"/>
        </w:rPr>
        <w:t>38,3</w:t>
      </w:r>
      <w:r w:rsidR="00953115">
        <w:rPr>
          <w:rFonts w:ascii="Calibri" w:hAnsi="Calibri"/>
        </w:rPr>
        <w:t>%</w:t>
      </w:r>
      <w:r w:rsidRPr="001F792B">
        <w:rPr>
          <w:rFonts w:ascii="Calibri" w:hAnsi="Calibri"/>
        </w:rPr>
        <w:t xml:space="preserve">, donde sus dos principales componentes, las transferencias destinadas al Sector Público y al Sector Privado, se expandieron a tasas interanuales de </w:t>
      </w:r>
      <w:r w:rsidR="001F792B" w:rsidRPr="001F792B">
        <w:rPr>
          <w:rFonts w:ascii="Calibri" w:hAnsi="Calibri"/>
        </w:rPr>
        <w:t>39</w:t>
      </w:r>
      <w:r w:rsidRPr="001F792B">
        <w:rPr>
          <w:rFonts w:ascii="Calibri" w:hAnsi="Calibri"/>
        </w:rPr>
        <w:t>,9</w:t>
      </w:r>
      <w:r w:rsidR="00953115">
        <w:rPr>
          <w:rFonts w:ascii="Calibri" w:hAnsi="Calibri"/>
        </w:rPr>
        <w:t>%</w:t>
      </w:r>
      <w:r w:rsidRPr="001F792B">
        <w:rPr>
          <w:rFonts w:ascii="Calibri" w:hAnsi="Calibri"/>
        </w:rPr>
        <w:t xml:space="preserve"> y de </w:t>
      </w:r>
      <w:r w:rsidR="001F792B" w:rsidRPr="001F792B">
        <w:rPr>
          <w:rFonts w:ascii="Calibri" w:hAnsi="Calibri"/>
        </w:rPr>
        <w:t>34,3</w:t>
      </w:r>
      <w:r w:rsidR="00953115">
        <w:rPr>
          <w:rFonts w:ascii="Calibri" w:hAnsi="Calibri"/>
        </w:rPr>
        <w:t>%</w:t>
      </w:r>
      <w:r w:rsidRPr="001F792B">
        <w:rPr>
          <w:rFonts w:ascii="Calibri" w:hAnsi="Calibri"/>
        </w:rPr>
        <w:t xml:space="preserve"> respectivamente.</w:t>
      </w:r>
    </w:p>
    <w:p w:rsidR="00AF17DD" w:rsidRPr="00D342BB" w:rsidRDefault="00AF17DD" w:rsidP="00AF17DD">
      <w:pPr>
        <w:suppressAutoHyphens/>
        <w:jc w:val="both"/>
        <w:rPr>
          <w:rFonts w:ascii="Calibri" w:hAnsi="Calibri"/>
          <w:highlight w:val="yellow"/>
        </w:rPr>
      </w:pPr>
    </w:p>
    <w:p w:rsidR="0012107C" w:rsidRPr="00EB38CE" w:rsidRDefault="0012107C" w:rsidP="003A3C64">
      <w:pPr>
        <w:suppressAutoHyphens/>
        <w:jc w:val="both"/>
        <w:rPr>
          <w:rFonts w:ascii="Calibri" w:hAnsi="Calibri"/>
        </w:rPr>
      </w:pPr>
      <w:r w:rsidRPr="00EB38CE">
        <w:rPr>
          <w:rFonts w:ascii="Calibri" w:hAnsi="Calibri"/>
        </w:rPr>
        <w:t xml:space="preserve">El crecimiento de las primeras acompaña </w:t>
      </w:r>
      <w:r w:rsidR="00EB38CE" w:rsidRPr="00EB38CE">
        <w:rPr>
          <w:rFonts w:ascii="Calibri" w:hAnsi="Calibri"/>
        </w:rPr>
        <w:t>en parte a</w:t>
      </w:r>
      <w:r w:rsidRPr="00EB38CE">
        <w:rPr>
          <w:rFonts w:ascii="Calibri" w:hAnsi="Calibri"/>
        </w:rPr>
        <w:t>l comportamiento de los ingresos tributarios y eventualmente de las regalías, que las Provincias participan a los municipios</w:t>
      </w:r>
      <w:r w:rsidR="00EB38CE" w:rsidRPr="00EB38CE">
        <w:rPr>
          <w:rFonts w:ascii="Calibri" w:hAnsi="Calibri"/>
        </w:rPr>
        <w:t>. Las transferencias automáticas a los Municipios representaron</w:t>
      </w:r>
      <w:r w:rsidR="00A70A44">
        <w:rPr>
          <w:rFonts w:ascii="Calibri" w:hAnsi="Calibri"/>
        </w:rPr>
        <w:t>,</w:t>
      </w:r>
      <w:r w:rsidR="00EB38CE" w:rsidRPr="00EB38CE">
        <w:rPr>
          <w:rFonts w:ascii="Calibri" w:hAnsi="Calibri"/>
        </w:rPr>
        <w:t xml:space="preserve"> al primer semestre de 2020</w:t>
      </w:r>
      <w:r w:rsidR="00A70A44">
        <w:rPr>
          <w:rFonts w:ascii="Calibri" w:hAnsi="Calibri"/>
        </w:rPr>
        <w:t>,</w:t>
      </w:r>
      <w:r w:rsidR="00EB38CE" w:rsidRPr="00EB38CE">
        <w:rPr>
          <w:rFonts w:ascii="Calibri" w:hAnsi="Calibri"/>
        </w:rPr>
        <w:t xml:space="preserve"> 65,3</w:t>
      </w:r>
      <w:r w:rsidR="00953115">
        <w:rPr>
          <w:rFonts w:ascii="Calibri" w:hAnsi="Calibri"/>
        </w:rPr>
        <w:t>%</w:t>
      </w:r>
      <w:r w:rsidR="00EB38CE" w:rsidRPr="00EB38CE">
        <w:rPr>
          <w:rFonts w:ascii="Calibri" w:hAnsi="Calibri"/>
        </w:rPr>
        <w:t xml:space="preserve"> de los fondos girados al Sector Público</w:t>
      </w:r>
      <w:r w:rsidRPr="00EB38CE">
        <w:rPr>
          <w:rFonts w:ascii="Calibri" w:hAnsi="Calibri"/>
        </w:rPr>
        <w:t xml:space="preserve">. Por su parte, en las transferencias al Sector Privado se observan los aumentos en subsidios a la enseñanza privada, planes sociales y pensiones a la vejez, pero </w:t>
      </w:r>
      <w:r w:rsidR="00CB006A">
        <w:rPr>
          <w:rFonts w:ascii="Calibri" w:hAnsi="Calibri"/>
        </w:rPr>
        <w:t>también inciden</w:t>
      </w:r>
      <w:r w:rsidR="00CB006A" w:rsidRPr="00773651">
        <w:rPr>
          <w:rFonts w:ascii="Calibri" w:hAnsi="Calibri"/>
        </w:rPr>
        <w:t xml:space="preserve"> </w:t>
      </w:r>
      <w:r w:rsidRPr="00EB38CE">
        <w:rPr>
          <w:rFonts w:ascii="Calibri" w:hAnsi="Calibri"/>
        </w:rPr>
        <w:t>las responsabilidades asumidas por las Jurisdicciones</w:t>
      </w:r>
      <w:r w:rsidRPr="00EB38CE">
        <w:rPr>
          <w:rStyle w:val="Refdenotaalpie"/>
          <w:rFonts w:ascii="Calibri" w:hAnsi="Calibri"/>
        </w:rPr>
        <w:footnoteReference w:id="4"/>
      </w:r>
      <w:r w:rsidRPr="00EB38CE">
        <w:rPr>
          <w:rFonts w:ascii="Calibri" w:hAnsi="Calibri"/>
        </w:rPr>
        <w:t xml:space="preserve"> en lo referido a la financiación de las tarifas sociales y las compensaciones tarifarias y/o subsidios al transporte público de pasajeros.</w:t>
      </w:r>
    </w:p>
    <w:p w:rsidR="0012107C" w:rsidRPr="00D342BB" w:rsidRDefault="0012107C" w:rsidP="003A3C64">
      <w:pPr>
        <w:suppressAutoHyphens/>
        <w:jc w:val="both"/>
        <w:rPr>
          <w:rFonts w:ascii="Calibri" w:hAnsi="Calibri"/>
          <w:highlight w:val="yellow"/>
        </w:rPr>
      </w:pPr>
    </w:p>
    <w:p w:rsidR="00A810D9" w:rsidRPr="00520350" w:rsidRDefault="00A810D9" w:rsidP="00A810D9">
      <w:pPr>
        <w:jc w:val="both"/>
        <w:rPr>
          <w:rFonts w:ascii="Calibri" w:hAnsi="Calibri"/>
        </w:rPr>
      </w:pPr>
      <w:r w:rsidRPr="00A72715">
        <w:rPr>
          <w:rFonts w:ascii="Calibri" w:hAnsi="Calibri"/>
        </w:rPr>
        <w:t>En cuanto a las rentas</w:t>
      </w:r>
      <w:r>
        <w:rPr>
          <w:rFonts w:ascii="Calibri" w:hAnsi="Calibri"/>
        </w:rPr>
        <w:t xml:space="preserve"> de la propiedad, se observa un</w:t>
      </w:r>
      <w:r w:rsidRPr="00A72715">
        <w:rPr>
          <w:rFonts w:ascii="Calibri" w:hAnsi="Calibri"/>
        </w:rPr>
        <w:t xml:space="preserve"> </w:t>
      </w:r>
      <w:r>
        <w:rPr>
          <w:rFonts w:ascii="Calibri" w:hAnsi="Calibri"/>
        </w:rPr>
        <w:t>incremento</w:t>
      </w:r>
      <w:r w:rsidRPr="00A72715">
        <w:rPr>
          <w:rFonts w:ascii="Calibri" w:hAnsi="Calibri"/>
        </w:rPr>
        <w:t xml:space="preserve"> de 0,1</w:t>
      </w:r>
      <w:r w:rsidR="00953115">
        <w:rPr>
          <w:rFonts w:ascii="Calibri" w:hAnsi="Calibri"/>
        </w:rPr>
        <w:t>%</w:t>
      </w:r>
      <w:r w:rsidRPr="00A72715">
        <w:rPr>
          <w:rFonts w:ascii="Calibri" w:hAnsi="Calibri"/>
        </w:rPr>
        <w:t xml:space="preserve"> con respecto al mismo periodo del año anterior. De este modo, esta partida pasó a </w:t>
      </w:r>
      <w:r w:rsidRPr="00520350">
        <w:rPr>
          <w:rFonts w:ascii="Calibri" w:hAnsi="Calibri"/>
        </w:rPr>
        <w:t>representar, al primer semestre de 2020, 3,5</w:t>
      </w:r>
      <w:r w:rsidR="00953115">
        <w:rPr>
          <w:rFonts w:ascii="Calibri" w:hAnsi="Calibri"/>
        </w:rPr>
        <w:t>%</w:t>
      </w:r>
      <w:r w:rsidRPr="00520350">
        <w:rPr>
          <w:rFonts w:ascii="Calibri" w:hAnsi="Calibri"/>
        </w:rPr>
        <w:t xml:space="preserve"> del total de </w:t>
      </w:r>
      <w:r>
        <w:rPr>
          <w:rFonts w:ascii="Calibri" w:hAnsi="Calibri"/>
        </w:rPr>
        <w:t>erogaciones.</w:t>
      </w:r>
    </w:p>
    <w:p w:rsidR="00A810D9" w:rsidRPr="00520350" w:rsidRDefault="00A810D9" w:rsidP="00A810D9">
      <w:pPr>
        <w:jc w:val="both"/>
        <w:rPr>
          <w:rFonts w:ascii="Calibri" w:hAnsi="Calibri"/>
        </w:rPr>
      </w:pPr>
    </w:p>
    <w:p w:rsidR="00A810D9" w:rsidRPr="00520350" w:rsidRDefault="00A810D9" w:rsidP="00A810D9">
      <w:pPr>
        <w:jc w:val="both"/>
        <w:rPr>
          <w:rFonts w:ascii="Calibri" w:hAnsi="Calibri"/>
        </w:rPr>
      </w:pPr>
      <w:r w:rsidRPr="00520350">
        <w:rPr>
          <w:rFonts w:ascii="Calibri" w:hAnsi="Calibri"/>
        </w:rPr>
        <w:t>En cuanto a los Títulos Internacionales, durante el año 2020 muchas provincias iniciaron el proceso de renegociación de su deuda con el Mercado de Capitales. Esto motivó que durante este período de renegociación algunas provincias suspendieran sus pagos. De esta manera este ítem no tuvo un aumento significativo con el mismo período del año anterior. Posteriormente, una vez logrado el acuerdo, la mayoría de las provincias realizó el pago de los intereses adeudados, una parte en efectivo y la otra mediante el incremento del stock de Títulos a sus tenedores.</w:t>
      </w:r>
    </w:p>
    <w:p w:rsidR="00A810D9" w:rsidRPr="00520350" w:rsidRDefault="00A810D9" w:rsidP="00A810D9">
      <w:pPr>
        <w:jc w:val="both"/>
        <w:rPr>
          <w:rFonts w:ascii="Calibri" w:hAnsi="Calibri"/>
        </w:rPr>
      </w:pPr>
    </w:p>
    <w:p w:rsidR="00AF17DD" w:rsidRDefault="00A810D9" w:rsidP="00A810D9">
      <w:pPr>
        <w:jc w:val="both"/>
        <w:rPr>
          <w:rFonts w:ascii="Calibri" w:hAnsi="Calibri"/>
        </w:rPr>
      </w:pPr>
      <w:r w:rsidRPr="00520350">
        <w:rPr>
          <w:rFonts w:ascii="Calibri" w:hAnsi="Calibri"/>
        </w:rPr>
        <w:t>El rubro Gobierno Nacional involucra los pagos al Fondo de Garantía de Sustentabilidad (FGS) de ANSES del préstamo que recibieron las provincias en el marco de la devolución de los 15 puntos de masa coparticipable con destino a obligaciones previsionales nacionales. Este préstamo es el equivalente a 6 puntos porcentuales en el año 2016 y de 3 puntos porcentuales para cada uno de los períodos 2017, 2018 y 2019, su amortización es bullet a los 48 meses del desembolso. En el segundo semestre de 2019 las Provincias hicieron frente al pago de la cuota semestral de intereses.</w:t>
      </w:r>
    </w:p>
    <w:p w:rsidR="00A810D9" w:rsidRPr="00D342BB" w:rsidRDefault="00A810D9" w:rsidP="00A810D9">
      <w:pPr>
        <w:jc w:val="both"/>
        <w:rPr>
          <w:highlight w:val="yellow"/>
        </w:rPr>
      </w:pPr>
    </w:p>
    <w:p w:rsidR="00AF17DD" w:rsidRDefault="00CB006A" w:rsidP="00AF17DD">
      <w:pPr>
        <w:suppressAutoHyphens/>
        <w:jc w:val="both"/>
        <w:rPr>
          <w:rFonts w:ascii="Calibri" w:hAnsi="Calibri"/>
        </w:rPr>
      </w:pPr>
      <w:r w:rsidRPr="00CB006A">
        <w:rPr>
          <w:rFonts w:ascii="Calibri" w:hAnsi="Calibri"/>
        </w:rPr>
        <w:t>Como consecuencia de la readecuación de la actividad del Sector Público no afectada directamente a la gestión de la crisis sanitaria</w:t>
      </w:r>
      <w:r w:rsidR="00EB38CE" w:rsidRPr="00CB006A">
        <w:rPr>
          <w:rFonts w:ascii="Calibri" w:hAnsi="Calibri"/>
        </w:rPr>
        <w:t>, l</w:t>
      </w:r>
      <w:r w:rsidR="00AF17DD" w:rsidRPr="00CB006A">
        <w:rPr>
          <w:rFonts w:ascii="Calibri" w:hAnsi="Calibri"/>
        </w:rPr>
        <w:t>os Gastos de Capital observan un</w:t>
      </w:r>
      <w:r w:rsidR="00EB38CE" w:rsidRPr="00CB006A">
        <w:rPr>
          <w:rFonts w:ascii="Calibri" w:hAnsi="Calibri"/>
        </w:rPr>
        <w:t>a</w:t>
      </w:r>
      <w:r w:rsidR="00AF17DD" w:rsidRPr="00CB006A">
        <w:rPr>
          <w:rFonts w:ascii="Calibri" w:hAnsi="Calibri"/>
        </w:rPr>
        <w:t xml:space="preserve"> </w:t>
      </w:r>
      <w:r w:rsidR="00EB38CE" w:rsidRPr="00CB006A">
        <w:rPr>
          <w:rFonts w:ascii="Calibri" w:hAnsi="Calibri"/>
        </w:rPr>
        <w:t>disminución en</w:t>
      </w:r>
      <w:r w:rsidR="00EB38CE" w:rsidRPr="00EB38CE">
        <w:rPr>
          <w:rFonts w:ascii="Calibri" w:hAnsi="Calibri"/>
        </w:rPr>
        <w:t xml:space="preserve"> términos absolutos</w:t>
      </w:r>
      <w:r w:rsidR="00AF17DD" w:rsidRPr="00EB38CE">
        <w:rPr>
          <w:rFonts w:ascii="Calibri" w:hAnsi="Calibri"/>
        </w:rPr>
        <w:t xml:space="preserve"> de </w:t>
      </w:r>
      <w:r w:rsidR="00EB38CE" w:rsidRPr="00EB38CE">
        <w:rPr>
          <w:rFonts w:ascii="Calibri" w:hAnsi="Calibri"/>
        </w:rPr>
        <w:t>17,1</w:t>
      </w:r>
      <w:r w:rsidR="00953115">
        <w:rPr>
          <w:rFonts w:ascii="Calibri" w:hAnsi="Calibri"/>
        </w:rPr>
        <w:t>%</w:t>
      </w:r>
      <w:r w:rsidR="00AF17DD" w:rsidRPr="00EB38CE">
        <w:rPr>
          <w:rFonts w:ascii="Calibri" w:hAnsi="Calibri"/>
        </w:rPr>
        <w:t xml:space="preserve">, determinado por </w:t>
      </w:r>
      <w:r w:rsidR="00EB38CE" w:rsidRPr="00EB38CE">
        <w:rPr>
          <w:rFonts w:ascii="Calibri" w:hAnsi="Calibri"/>
        </w:rPr>
        <w:t>las caídas</w:t>
      </w:r>
      <w:r w:rsidR="00AF17DD" w:rsidRPr="00EB38CE">
        <w:rPr>
          <w:rFonts w:ascii="Calibri" w:hAnsi="Calibri"/>
        </w:rPr>
        <w:t xml:space="preserve"> de la Inversión Real Directa (</w:t>
      </w:r>
      <w:r w:rsidR="00EB38CE" w:rsidRPr="00EB38CE">
        <w:rPr>
          <w:rFonts w:ascii="Calibri" w:hAnsi="Calibri"/>
        </w:rPr>
        <w:t>21,3</w:t>
      </w:r>
      <w:r w:rsidR="00953115">
        <w:rPr>
          <w:rFonts w:ascii="Calibri" w:hAnsi="Calibri"/>
        </w:rPr>
        <w:t>%</w:t>
      </w:r>
      <w:r w:rsidR="00EB38CE" w:rsidRPr="00EB38CE">
        <w:rPr>
          <w:rFonts w:ascii="Calibri" w:hAnsi="Calibri"/>
        </w:rPr>
        <w:t>)</w:t>
      </w:r>
      <w:r w:rsidR="00AF17DD" w:rsidRPr="00EB38CE">
        <w:rPr>
          <w:rFonts w:ascii="Calibri" w:hAnsi="Calibri"/>
        </w:rPr>
        <w:t xml:space="preserve"> y </w:t>
      </w:r>
      <w:r w:rsidR="00EB38CE" w:rsidRPr="00EB38CE">
        <w:rPr>
          <w:rFonts w:ascii="Calibri" w:hAnsi="Calibri"/>
        </w:rPr>
        <w:t xml:space="preserve">de </w:t>
      </w:r>
      <w:r w:rsidR="00AF17DD" w:rsidRPr="00EB38CE">
        <w:rPr>
          <w:rFonts w:ascii="Calibri" w:hAnsi="Calibri"/>
        </w:rPr>
        <w:t>las Transferencias de Capital (</w:t>
      </w:r>
      <w:r w:rsidR="00EB38CE" w:rsidRPr="00EB38CE">
        <w:rPr>
          <w:rFonts w:ascii="Calibri" w:hAnsi="Calibri"/>
        </w:rPr>
        <w:t>25,3</w:t>
      </w:r>
      <w:r w:rsidR="00953115">
        <w:rPr>
          <w:rFonts w:ascii="Calibri" w:hAnsi="Calibri"/>
        </w:rPr>
        <w:t>%</w:t>
      </w:r>
      <w:r w:rsidR="00AF17DD" w:rsidRPr="00EB38CE">
        <w:rPr>
          <w:rFonts w:ascii="Calibri" w:hAnsi="Calibri"/>
        </w:rPr>
        <w:t xml:space="preserve">). </w:t>
      </w:r>
      <w:r w:rsidR="00EB38CE" w:rsidRPr="00EB38CE">
        <w:rPr>
          <w:rFonts w:ascii="Calibri" w:hAnsi="Calibri"/>
        </w:rPr>
        <w:t>La Inversión Financiera observa en cambio una variación positiva (27,5</w:t>
      </w:r>
      <w:r w:rsidR="00953115">
        <w:rPr>
          <w:rFonts w:ascii="Calibri" w:hAnsi="Calibri"/>
        </w:rPr>
        <w:t>%</w:t>
      </w:r>
      <w:r w:rsidR="00EB38CE" w:rsidRPr="00EB38CE">
        <w:rPr>
          <w:rFonts w:ascii="Calibri" w:hAnsi="Calibri"/>
        </w:rPr>
        <w:t>), explicada por el otorgamiento de algunos p</w:t>
      </w:r>
      <w:r w:rsidR="00AF17DD" w:rsidRPr="00EB38CE">
        <w:rPr>
          <w:rFonts w:ascii="Calibri" w:hAnsi="Calibri"/>
        </w:rPr>
        <w:t>réstamos a Municipios y empresas públicas, especialmente.</w:t>
      </w:r>
    </w:p>
    <w:p w:rsidR="00600287" w:rsidRPr="00EB38CE" w:rsidRDefault="00600287" w:rsidP="00AF17DD">
      <w:pPr>
        <w:suppressAutoHyphens/>
        <w:jc w:val="both"/>
        <w:rPr>
          <w:rFonts w:ascii="Calibri" w:hAnsi="Calibri"/>
        </w:rPr>
      </w:pPr>
    </w:p>
    <w:p w:rsidR="0012107C" w:rsidRDefault="00A810D9" w:rsidP="00227F8B">
      <w:pPr>
        <w:suppressAutoHyphens/>
        <w:spacing w:after="120"/>
        <w:jc w:val="center"/>
        <w:rPr>
          <w:rFonts w:ascii="Calibri" w:hAnsi="Calibri" w:cs="Arial"/>
        </w:rPr>
      </w:pPr>
      <w:r>
        <w:rPr>
          <w:rFonts w:ascii="Calibri" w:hAnsi="Calibri"/>
        </w:rPr>
        <w:br w:type="page"/>
      </w:r>
      <w:r w:rsidR="0012107C" w:rsidRPr="002D05F0">
        <w:rPr>
          <w:rFonts w:ascii="Calibri" w:hAnsi="Calibri" w:cs="Arial"/>
          <w:b/>
        </w:rPr>
        <w:lastRenderedPageBreak/>
        <w:t xml:space="preserve">Gráfico </w:t>
      </w:r>
      <w:r w:rsidR="0012107C">
        <w:rPr>
          <w:rFonts w:ascii="Calibri" w:hAnsi="Calibri" w:cs="Arial"/>
          <w:b/>
        </w:rPr>
        <w:t>2</w:t>
      </w:r>
      <w:r w:rsidR="0012107C" w:rsidRPr="002D05F0">
        <w:rPr>
          <w:rFonts w:ascii="Calibri" w:hAnsi="Calibri" w:cs="Arial"/>
        </w:rPr>
        <w:t xml:space="preserve">: Contribución de cada concepto en el incremento interanual de los gastos totales de la APNF. I </w:t>
      </w:r>
      <w:r w:rsidR="0012107C">
        <w:rPr>
          <w:rFonts w:ascii="Calibri" w:hAnsi="Calibri" w:cs="Arial"/>
        </w:rPr>
        <w:t>Se</w:t>
      </w:r>
      <w:r w:rsidR="0012107C" w:rsidRPr="002D05F0">
        <w:rPr>
          <w:rFonts w:ascii="Calibri" w:hAnsi="Calibri" w:cs="Arial"/>
        </w:rPr>
        <w:t>mestre 20</w:t>
      </w:r>
      <w:r w:rsidR="00D342BB">
        <w:rPr>
          <w:rFonts w:ascii="Calibri" w:hAnsi="Calibri" w:cs="Arial"/>
        </w:rPr>
        <w:t>20</w:t>
      </w:r>
    </w:p>
    <w:p w:rsidR="0012107C" w:rsidRDefault="009B4274" w:rsidP="00A0123C">
      <w:pPr>
        <w:suppressAutoHyphens/>
        <w:spacing w:after="120"/>
        <w:jc w:val="center"/>
        <w:rPr>
          <w:rFonts w:ascii="Calibri" w:hAnsi="Calibri"/>
          <w:sz w:val="20"/>
          <w:szCs w:val="20"/>
        </w:rPr>
      </w:pPr>
      <w:r>
        <w:rPr>
          <w:rFonts w:ascii="Calibri" w:hAnsi="Calibri"/>
          <w:sz w:val="20"/>
          <w:szCs w:val="20"/>
        </w:rPr>
        <w:pict w14:anchorId="18FB277D">
          <v:shape id="_x0000_i1030" type="#_x0000_t75" style="width:475.5pt;height:311.25pt;mso-left-percent:-10001;mso-top-percent:-10001;mso-position-horizontal:absolute;mso-position-horizontal-relative:char;mso-position-vertical:absolute;mso-position-vertical-relative:line;mso-left-percent:-10001;mso-top-percent:-10001">
            <v:imagedata r:id="rId15" o:title=""/>
          </v:shape>
        </w:pict>
      </w:r>
    </w:p>
    <w:p w:rsidR="0012107C" w:rsidRPr="002061F8" w:rsidRDefault="0012107C" w:rsidP="00AF17DD">
      <w:pPr>
        <w:suppressAutoHyphens/>
        <w:jc w:val="both"/>
        <w:rPr>
          <w:rFonts w:ascii="Calibri" w:hAnsi="Calibri"/>
          <w:sz w:val="20"/>
          <w:szCs w:val="20"/>
        </w:rPr>
      </w:pPr>
      <w:r w:rsidRPr="000B742E">
        <w:rPr>
          <w:rFonts w:ascii="Calibri" w:hAnsi="Calibri"/>
          <w:b/>
          <w:sz w:val="20"/>
          <w:szCs w:val="20"/>
        </w:rPr>
        <w:t>Fuente</w:t>
      </w:r>
      <w:r w:rsidRPr="002061F8">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7510">
      <w:pPr>
        <w:suppressAutoHyphens/>
        <w:jc w:val="both"/>
        <w:rPr>
          <w:rFonts w:ascii="Calibri" w:hAnsi="Calibri"/>
        </w:rPr>
      </w:pPr>
    </w:p>
    <w:p w:rsidR="0012107C" w:rsidRPr="001F792B" w:rsidRDefault="0012107C" w:rsidP="0076644C">
      <w:pPr>
        <w:suppressAutoHyphens/>
        <w:jc w:val="both"/>
        <w:rPr>
          <w:rFonts w:ascii="Calibri" w:hAnsi="Calibri"/>
        </w:rPr>
      </w:pPr>
      <w:r w:rsidRPr="001F792B">
        <w:rPr>
          <w:rFonts w:ascii="Calibri" w:hAnsi="Calibri"/>
        </w:rPr>
        <w:t>El Gráfico 3 muestra la estructura del gasto, pudiéndose observar la relevancia de los egresos en Personal (</w:t>
      </w:r>
      <w:r w:rsidR="001F792B" w:rsidRPr="001F792B">
        <w:rPr>
          <w:rFonts w:ascii="Calibri" w:hAnsi="Calibri"/>
        </w:rPr>
        <w:t>47,9</w:t>
      </w:r>
      <w:r w:rsidR="00953115">
        <w:rPr>
          <w:rFonts w:ascii="Calibri" w:hAnsi="Calibri"/>
        </w:rPr>
        <w:t>%</w:t>
      </w:r>
      <w:r w:rsidRPr="001F792B">
        <w:rPr>
          <w:rFonts w:ascii="Calibri" w:hAnsi="Calibri"/>
        </w:rPr>
        <w:t>), que sumados a las Prestaciones a la Seguridad Social (</w:t>
      </w:r>
      <w:r w:rsidR="001F792B" w:rsidRPr="001F792B">
        <w:rPr>
          <w:rFonts w:ascii="Calibri" w:hAnsi="Calibri"/>
        </w:rPr>
        <w:t>14,3</w:t>
      </w:r>
      <w:r w:rsidR="00953115">
        <w:rPr>
          <w:rFonts w:ascii="Calibri" w:hAnsi="Calibri"/>
        </w:rPr>
        <w:t>%</w:t>
      </w:r>
      <w:r w:rsidRPr="001F792B">
        <w:rPr>
          <w:rFonts w:ascii="Calibri" w:hAnsi="Calibri"/>
        </w:rPr>
        <w:t>), muestran que</w:t>
      </w:r>
      <w:r w:rsidR="00A70A44">
        <w:rPr>
          <w:rFonts w:ascii="Calibri" w:hAnsi="Calibri"/>
        </w:rPr>
        <w:t>,</w:t>
      </w:r>
      <w:r w:rsidRPr="001F792B">
        <w:rPr>
          <w:rFonts w:ascii="Calibri" w:hAnsi="Calibri"/>
        </w:rPr>
        <w:t xml:space="preserve"> al primer semestre de 20</w:t>
      </w:r>
      <w:r w:rsidR="001F792B" w:rsidRPr="001F792B">
        <w:rPr>
          <w:rFonts w:ascii="Calibri" w:hAnsi="Calibri"/>
        </w:rPr>
        <w:t>20</w:t>
      </w:r>
      <w:r w:rsidR="00A70A44">
        <w:rPr>
          <w:rFonts w:ascii="Calibri" w:hAnsi="Calibri"/>
        </w:rPr>
        <w:t>,</w:t>
      </w:r>
      <w:r w:rsidRPr="001F792B">
        <w:rPr>
          <w:rFonts w:ascii="Calibri" w:hAnsi="Calibri"/>
        </w:rPr>
        <w:t xml:space="preserve"> </w:t>
      </w:r>
      <w:r w:rsidR="001F792B" w:rsidRPr="001F792B">
        <w:rPr>
          <w:rFonts w:ascii="Calibri" w:hAnsi="Calibri"/>
        </w:rPr>
        <w:t>62,2</w:t>
      </w:r>
      <w:r w:rsidR="00953115">
        <w:rPr>
          <w:rFonts w:ascii="Calibri" w:hAnsi="Calibri"/>
        </w:rPr>
        <w:t>%</w:t>
      </w:r>
      <w:r w:rsidRPr="001F792B">
        <w:rPr>
          <w:rFonts w:ascii="Calibri" w:hAnsi="Calibri"/>
        </w:rPr>
        <w:t xml:space="preserve"> de los egresos del consolidado de las 24 jurisdicciones se aplicó al pago de las remuneraciones del personal activo y pasivo de las administraciones provinciales, incluyendo pensionados y demás beneficiarios de regímenes previsionales provinciales.</w:t>
      </w:r>
    </w:p>
    <w:p w:rsidR="00AF17DD" w:rsidRPr="00D342BB" w:rsidRDefault="00AF17DD" w:rsidP="00AF17DD">
      <w:pPr>
        <w:suppressAutoHyphens/>
        <w:jc w:val="both"/>
        <w:rPr>
          <w:rFonts w:ascii="Calibri" w:hAnsi="Calibri"/>
          <w:highlight w:val="yellow"/>
        </w:rPr>
      </w:pPr>
    </w:p>
    <w:p w:rsidR="00AF17DD" w:rsidRDefault="00AF17DD" w:rsidP="00AF17DD">
      <w:pPr>
        <w:suppressAutoHyphens/>
        <w:jc w:val="both"/>
        <w:rPr>
          <w:rFonts w:ascii="Calibri" w:hAnsi="Calibri"/>
        </w:rPr>
      </w:pPr>
      <w:r w:rsidRPr="001F792B">
        <w:rPr>
          <w:rFonts w:ascii="Calibri" w:hAnsi="Calibri"/>
        </w:rPr>
        <w:t xml:space="preserve">Las Transferencias Corrientes absorbieron otro </w:t>
      </w:r>
      <w:r w:rsidR="001F792B" w:rsidRPr="001F792B">
        <w:rPr>
          <w:rFonts w:ascii="Calibri" w:hAnsi="Calibri"/>
        </w:rPr>
        <w:t>20,8</w:t>
      </w:r>
      <w:r w:rsidR="00953115">
        <w:rPr>
          <w:rFonts w:ascii="Calibri" w:hAnsi="Calibri"/>
        </w:rPr>
        <w:t>%</w:t>
      </w:r>
      <w:r w:rsidRPr="001F792B">
        <w:rPr>
          <w:rFonts w:ascii="Calibri" w:hAnsi="Calibri"/>
        </w:rPr>
        <w:t xml:space="preserve"> del gasto en el mismo período. Las partidas</w:t>
      </w:r>
      <w:r w:rsidR="001F792B" w:rsidRPr="001F792B">
        <w:rPr>
          <w:rFonts w:ascii="Calibri" w:hAnsi="Calibri"/>
        </w:rPr>
        <w:t xml:space="preserve"> restantes</w:t>
      </w:r>
      <w:r w:rsidRPr="001F792B">
        <w:rPr>
          <w:rFonts w:ascii="Calibri" w:hAnsi="Calibri"/>
        </w:rPr>
        <w:t xml:space="preserve">, en orden de relevancia, </w:t>
      </w:r>
      <w:r w:rsidR="001F792B" w:rsidRPr="001F792B">
        <w:rPr>
          <w:rFonts w:ascii="Calibri" w:hAnsi="Calibri"/>
        </w:rPr>
        <w:t>son los gastos en Bienes de Consumo y Servicios (7,1</w:t>
      </w:r>
      <w:r w:rsidR="00953115">
        <w:rPr>
          <w:rFonts w:ascii="Calibri" w:hAnsi="Calibri"/>
        </w:rPr>
        <w:t>%</w:t>
      </w:r>
      <w:r w:rsidR="001F792B" w:rsidRPr="001F792B">
        <w:rPr>
          <w:rFonts w:ascii="Calibri" w:hAnsi="Calibri"/>
        </w:rPr>
        <w:t xml:space="preserve">), y </w:t>
      </w:r>
      <w:r w:rsidRPr="001F792B">
        <w:rPr>
          <w:rFonts w:ascii="Calibri" w:hAnsi="Calibri"/>
        </w:rPr>
        <w:t>la Inversión Real Directa (</w:t>
      </w:r>
      <w:r w:rsidR="001F792B" w:rsidRPr="001F792B">
        <w:rPr>
          <w:rFonts w:ascii="Calibri" w:hAnsi="Calibri"/>
        </w:rPr>
        <w:t>4,2</w:t>
      </w:r>
      <w:r w:rsidR="00953115">
        <w:rPr>
          <w:rFonts w:ascii="Calibri" w:hAnsi="Calibri"/>
        </w:rPr>
        <w:t>%</w:t>
      </w:r>
      <w:r w:rsidRPr="001F792B">
        <w:rPr>
          <w:rFonts w:ascii="Calibri" w:hAnsi="Calibri"/>
        </w:rPr>
        <w:t>), distribuyéndose el</w:t>
      </w:r>
      <w:r w:rsidR="00600287">
        <w:rPr>
          <w:rFonts w:ascii="Calibri" w:hAnsi="Calibri"/>
        </w:rPr>
        <w:t xml:space="preserve"> </w:t>
      </w:r>
      <w:r w:rsidR="00600287" w:rsidRPr="001F792B">
        <w:rPr>
          <w:rFonts w:ascii="Calibri" w:hAnsi="Calibri"/>
        </w:rPr>
        <w:t xml:space="preserve">gasto </w:t>
      </w:r>
      <w:r w:rsidR="00600287">
        <w:rPr>
          <w:rFonts w:ascii="Calibri" w:hAnsi="Calibri"/>
        </w:rPr>
        <w:t>restante (</w:t>
      </w:r>
      <w:r w:rsidR="001F792B" w:rsidRPr="001F792B">
        <w:rPr>
          <w:rFonts w:ascii="Calibri" w:hAnsi="Calibri"/>
        </w:rPr>
        <w:t>5,7</w:t>
      </w:r>
      <w:r w:rsidR="00953115">
        <w:rPr>
          <w:rFonts w:ascii="Calibri" w:hAnsi="Calibri"/>
        </w:rPr>
        <w:t>%</w:t>
      </w:r>
      <w:r w:rsidR="00600287">
        <w:rPr>
          <w:rFonts w:ascii="Calibri" w:hAnsi="Calibri"/>
        </w:rPr>
        <w:t xml:space="preserve">) </w:t>
      </w:r>
      <w:r w:rsidR="001F792B" w:rsidRPr="001F792B">
        <w:rPr>
          <w:rFonts w:ascii="Calibri" w:hAnsi="Calibri"/>
        </w:rPr>
        <w:t>en</w:t>
      </w:r>
      <w:r w:rsidR="00600287">
        <w:rPr>
          <w:rFonts w:ascii="Calibri" w:hAnsi="Calibri"/>
        </w:rPr>
        <w:t>tre</w:t>
      </w:r>
      <w:r w:rsidR="001F792B" w:rsidRPr="001F792B">
        <w:rPr>
          <w:rFonts w:ascii="Calibri" w:hAnsi="Calibri"/>
        </w:rPr>
        <w:t xml:space="preserve"> el pago </w:t>
      </w:r>
      <w:r w:rsidRPr="001F792B">
        <w:rPr>
          <w:rFonts w:ascii="Calibri" w:hAnsi="Calibri"/>
        </w:rPr>
        <w:t xml:space="preserve">de Rentas de la Propiedad, </w:t>
      </w:r>
      <w:r w:rsidR="001F792B" w:rsidRPr="001F792B">
        <w:rPr>
          <w:rFonts w:ascii="Calibri" w:hAnsi="Calibri"/>
        </w:rPr>
        <w:t xml:space="preserve">las </w:t>
      </w:r>
      <w:r w:rsidRPr="001F792B">
        <w:rPr>
          <w:rFonts w:ascii="Calibri" w:hAnsi="Calibri"/>
        </w:rPr>
        <w:t xml:space="preserve">Transferencias de Capital, </w:t>
      </w:r>
      <w:r w:rsidR="001F792B" w:rsidRPr="001F792B">
        <w:rPr>
          <w:rFonts w:ascii="Calibri" w:hAnsi="Calibri"/>
        </w:rPr>
        <w:t>y la</w:t>
      </w:r>
      <w:r w:rsidRPr="001F792B">
        <w:rPr>
          <w:rFonts w:ascii="Calibri" w:hAnsi="Calibri"/>
        </w:rPr>
        <w:t xml:space="preserve"> Inversión Financiera.</w:t>
      </w:r>
    </w:p>
    <w:p w:rsidR="0012107C" w:rsidRDefault="0012107C" w:rsidP="0076644C">
      <w:pPr>
        <w:suppressAutoHyphens/>
        <w:jc w:val="both"/>
        <w:rPr>
          <w:rFonts w:ascii="Calibri" w:hAnsi="Calibri"/>
        </w:rPr>
      </w:pPr>
    </w:p>
    <w:p w:rsidR="0012107C" w:rsidRDefault="00AF17DD" w:rsidP="000B742E">
      <w:pPr>
        <w:suppressAutoHyphens/>
        <w:jc w:val="center"/>
        <w:rPr>
          <w:rFonts w:ascii="Calibri" w:hAnsi="Calibri" w:cs="Arial"/>
        </w:rPr>
      </w:pPr>
      <w:r>
        <w:rPr>
          <w:rFonts w:ascii="Calibri" w:hAnsi="Calibri"/>
        </w:rPr>
        <w:br w:type="page"/>
      </w:r>
      <w:r w:rsidR="0012107C" w:rsidRPr="00590089">
        <w:rPr>
          <w:rFonts w:ascii="Calibri" w:hAnsi="Calibri" w:cs="Arial"/>
          <w:b/>
        </w:rPr>
        <w:lastRenderedPageBreak/>
        <w:t xml:space="preserve">Gráfico </w:t>
      </w:r>
      <w:r w:rsidR="0012107C">
        <w:rPr>
          <w:rFonts w:ascii="Calibri" w:hAnsi="Calibri" w:cs="Arial"/>
          <w:b/>
        </w:rPr>
        <w:t>3</w:t>
      </w:r>
      <w:r w:rsidR="0012107C" w:rsidRPr="00590089">
        <w:rPr>
          <w:rFonts w:ascii="Calibri" w:hAnsi="Calibri" w:cs="Arial"/>
          <w:b/>
        </w:rPr>
        <w:t>.</w:t>
      </w:r>
      <w:r w:rsidR="0012107C">
        <w:rPr>
          <w:rFonts w:ascii="Calibri" w:hAnsi="Calibri" w:cs="Arial"/>
        </w:rPr>
        <w:t xml:space="preserve"> Estructura porcentual de los gastos</w:t>
      </w:r>
    </w:p>
    <w:p w:rsidR="0012107C" w:rsidRPr="002061F8" w:rsidRDefault="0012107C" w:rsidP="000B742E">
      <w:pPr>
        <w:suppressAutoHyphens/>
        <w:spacing w:after="120"/>
        <w:jc w:val="center"/>
        <w:rPr>
          <w:rFonts w:ascii="Calibri" w:hAnsi="Calibri" w:cs="Arial"/>
        </w:rPr>
      </w:pPr>
      <w:r>
        <w:rPr>
          <w:rFonts w:ascii="Calibri" w:hAnsi="Calibri" w:cs="Arial"/>
        </w:rPr>
        <w:t>I Semestre 20</w:t>
      </w:r>
      <w:r w:rsidR="00D342BB">
        <w:rPr>
          <w:rFonts w:ascii="Calibri" w:hAnsi="Calibri" w:cs="Arial"/>
        </w:rPr>
        <w:t>20</w:t>
      </w:r>
    </w:p>
    <w:p w:rsidR="0012107C" w:rsidRDefault="009B4274" w:rsidP="00687E14">
      <w:pPr>
        <w:suppressAutoHyphens/>
        <w:jc w:val="center"/>
        <w:rPr>
          <w:rFonts w:ascii="Calibri" w:hAnsi="Calibri"/>
          <w:sz w:val="20"/>
          <w:szCs w:val="20"/>
        </w:rPr>
      </w:pPr>
      <w:r>
        <w:rPr>
          <w:rFonts w:ascii="Calibri" w:hAnsi="Calibri"/>
          <w:sz w:val="20"/>
          <w:szCs w:val="20"/>
        </w:rPr>
        <w:pict w14:anchorId="0203CB09">
          <v:shape id="_x0000_i1031" type="#_x0000_t75" style="width:432.75pt;height:264.75pt;mso-left-percent:-10001;mso-top-percent:-10001;mso-position-horizontal:absolute;mso-position-horizontal-relative:char;mso-position-vertical:absolute;mso-position-vertical-relative:line;mso-left-percent:-10001;mso-top-percent:-10001">
            <v:imagedata r:id="rId16" o:title=""/>
          </v:shape>
        </w:pict>
      </w:r>
    </w:p>
    <w:p w:rsidR="0012107C" w:rsidRDefault="0012107C" w:rsidP="004D2955">
      <w:pPr>
        <w:suppressAutoHyphens/>
        <w:ind w:left="567"/>
        <w:jc w:val="both"/>
        <w:rPr>
          <w:rFonts w:ascii="Calibri" w:hAnsi="Calibri"/>
          <w:sz w:val="20"/>
          <w:szCs w:val="20"/>
        </w:rPr>
      </w:pPr>
      <w:r w:rsidRPr="000B742E">
        <w:rPr>
          <w:rFonts w:ascii="Calibri" w:hAnsi="Calibri"/>
          <w:b/>
          <w:sz w:val="20"/>
          <w:szCs w:val="20"/>
        </w:rPr>
        <w:t>Fuente</w:t>
      </w:r>
      <w:r w:rsidRPr="007A06DC">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Default="0012107C" w:rsidP="00031261">
      <w:pPr>
        <w:suppressAutoHyphens/>
        <w:jc w:val="both"/>
        <w:rPr>
          <w:rFonts w:ascii="Calibri" w:hAnsi="Calibri"/>
        </w:rPr>
      </w:pPr>
      <w:bookmarkStart w:id="21" w:name="_Toc532576018"/>
      <w:bookmarkStart w:id="22" w:name="_Toc532576464"/>
      <w:bookmarkStart w:id="23" w:name="_Toc532576665"/>
      <w:bookmarkStart w:id="24" w:name="_Toc532577061"/>
      <w:bookmarkStart w:id="25" w:name="_Toc532577143"/>
      <w:bookmarkStart w:id="26" w:name="_Toc532577205"/>
      <w:bookmarkStart w:id="27" w:name="_Toc532578379"/>
    </w:p>
    <w:p w:rsidR="0012107C" w:rsidRPr="002F6510" w:rsidRDefault="0012107C" w:rsidP="002F6510">
      <w:pPr>
        <w:pStyle w:val="TDC3"/>
        <w:rPr>
          <w:rFonts w:cs="Times New Roman"/>
        </w:rPr>
      </w:pPr>
      <w:bookmarkStart w:id="28" w:name="_Toc98777235"/>
      <w:r w:rsidRPr="002F6510">
        <w:rPr>
          <w:rFonts w:cs="Times New Roman"/>
        </w:rPr>
        <w:t>4.2. Análisis del Gasto según Clasificación por Finalidad y Función</w:t>
      </w:r>
      <w:bookmarkEnd w:id="21"/>
      <w:bookmarkEnd w:id="22"/>
      <w:bookmarkEnd w:id="23"/>
      <w:bookmarkEnd w:id="24"/>
      <w:bookmarkEnd w:id="25"/>
      <w:bookmarkEnd w:id="26"/>
      <w:bookmarkEnd w:id="27"/>
      <w:bookmarkEnd w:id="28"/>
    </w:p>
    <w:p w:rsidR="0012107C" w:rsidRPr="00487BB7" w:rsidRDefault="0012107C" w:rsidP="004D39AC">
      <w:pPr>
        <w:suppressAutoHyphens/>
        <w:jc w:val="both"/>
        <w:rPr>
          <w:rFonts w:ascii="Calibri" w:hAnsi="Calibri"/>
        </w:rPr>
      </w:pPr>
    </w:p>
    <w:p w:rsidR="0012107C" w:rsidRDefault="0012107C" w:rsidP="004D39AC">
      <w:pPr>
        <w:suppressAutoHyphens/>
        <w:jc w:val="both"/>
        <w:rPr>
          <w:rFonts w:ascii="Calibri" w:hAnsi="Calibri"/>
        </w:rPr>
      </w:pPr>
      <w:r w:rsidRPr="00AB5D88">
        <w:rPr>
          <w:rFonts w:ascii="Calibri" w:hAnsi="Calibri"/>
        </w:rPr>
        <w:t xml:space="preserve">En cuanto a la composición del gasto por finalidad se destacan por su relevancia los Servicios Sociales, cuyos egresos se incrementaron </w:t>
      </w:r>
      <w:r w:rsidR="00AB5D88" w:rsidRPr="00AB5D88">
        <w:rPr>
          <w:rFonts w:ascii="Calibri" w:hAnsi="Calibri"/>
        </w:rPr>
        <w:t>34,9</w:t>
      </w:r>
      <w:r w:rsidR="00953115">
        <w:rPr>
          <w:rFonts w:ascii="Calibri" w:hAnsi="Calibri"/>
        </w:rPr>
        <w:t>%</w:t>
      </w:r>
      <w:r w:rsidRPr="00AB5D88">
        <w:rPr>
          <w:rFonts w:ascii="Calibri" w:hAnsi="Calibri"/>
        </w:rPr>
        <w:t xml:space="preserve"> en el primer semestre de 20</w:t>
      </w:r>
      <w:r w:rsidR="00AB5D88" w:rsidRPr="00AB5D88">
        <w:rPr>
          <w:rFonts w:ascii="Calibri" w:hAnsi="Calibri"/>
        </w:rPr>
        <w:t>20</w:t>
      </w:r>
      <w:r w:rsidRPr="00AB5D88">
        <w:rPr>
          <w:rFonts w:ascii="Calibri" w:hAnsi="Calibri"/>
        </w:rPr>
        <w:t xml:space="preserve"> respecto a igual período de 201</w:t>
      </w:r>
      <w:r w:rsidR="00AB5D88" w:rsidRPr="00AB5D88">
        <w:rPr>
          <w:rFonts w:ascii="Calibri" w:hAnsi="Calibri"/>
        </w:rPr>
        <w:t>9</w:t>
      </w:r>
      <w:r w:rsidRPr="00AB5D88">
        <w:rPr>
          <w:rFonts w:ascii="Calibri" w:hAnsi="Calibri"/>
        </w:rPr>
        <w:t xml:space="preserve"> y aportaron </w:t>
      </w:r>
      <w:r w:rsidR="00AB5D88" w:rsidRPr="00AB5D88">
        <w:rPr>
          <w:rFonts w:ascii="Calibri" w:hAnsi="Calibri"/>
        </w:rPr>
        <w:t>64</w:t>
      </w:r>
      <w:r w:rsidRPr="00AB5D88">
        <w:rPr>
          <w:rFonts w:ascii="Calibri" w:hAnsi="Calibri"/>
        </w:rPr>
        <w:t>,5</w:t>
      </w:r>
      <w:r w:rsidR="00953115">
        <w:rPr>
          <w:rFonts w:ascii="Calibri" w:hAnsi="Calibri"/>
        </w:rPr>
        <w:t>%</w:t>
      </w:r>
      <w:r w:rsidRPr="00AB5D88">
        <w:rPr>
          <w:rFonts w:ascii="Calibri" w:hAnsi="Calibri"/>
        </w:rPr>
        <w:t xml:space="preserve"> del aumento total de las erogaciones. Dicha finalidad se encuentra desagregada por función en el Cuadro 4, pudiendo observarse que </w:t>
      </w:r>
      <w:r w:rsidR="00AB5D88" w:rsidRPr="00AB5D88">
        <w:rPr>
          <w:rFonts w:ascii="Calibri" w:hAnsi="Calibri"/>
        </w:rPr>
        <w:t>casi 70</w:t>
      </w:r>
      <w:r w:rsidR="00953115">
        <w:rPr>
          <w:rFonts w:ascii="Calibri" w:hAnsi="Calibri"/>
        </w:rPr>
        <w:t>%</w:t>
      </w:r>
      <w:r w:rsidRPr="00AB5D88">
        <w:rPr>
          <w:rFonts w:ascii="Calibri" w:hAnsi="Calibri"/>
        </w:rPr>
        <w:t xml:space="preserve"> de su aumento se localiza en las funciones Seguridad Social y Educación y Cultura, con crecimientos de </w:t>
      </w:r>
      <w:r w:rsidR="00AB5D88" w:rsidRPr="00AB5D88">
        <w:rPr>
          <w:rFonts w:ascii="Calibri" w:hAnsi="Calibri"/>
        </w:rPr>
        <w:t>41,2</w:t>
      </w:r>
      <w:r w:rsidR="00953115">
        <w:rPr>
          <w:rFonts w:ascii="Calibri" w:hAnsi="Calibri"/>
        </w:rPr>
        <w:t>%</w:t>
      </w:r>
      <w:r w:rsidRPr="00AB5D88">
        <w:rPr>
          <w:rFonts w:ascii="Calibri" w:hAnsi="Calibri"/>
        </w:rPr>
        <w:t xml:space="preserve"> y de </w:t>
      </w:r>
      <w:r w:rsidR="00AB5D88" w:rsidRPr="00AB5D88">
        <w:rPr>
          <w:rFonts w:ascii="Calibri" w:hAnsi="Calibri"/>
        </w:rPr>
        <w:t>31,3</w:t>
      </w:r>
      <w:r w:rsidR="00953115">
        <w:rPr>
          <w:rFonts w:ascii="Calibri" w:hAnsi="Calibri"/>
        </w:rPr>
        <w:t>%</w:t>
      </w:r>
      <w:r w:rsidRPr="00AB5D88">
        <w:rPr>
          <w:rFonts w:ascii="Calibri" w:hAnsi="Calibri"/>
        </w:rPr>
        <w:t>, respectivamente</w:t>
      </w:r>
      <w:r w:rsidR="00AB5D88">
        <w:rPr>
          <w:rFonts w:ascii="Calibri" w:hAnsi="Calibri"/>
        </w:rPr>
        <w:t>, siendo que ambas funciones representan 69,4</w:t>
      </w:r>
      <w:r w:rsidR="00953115">
        <w:rPr>
          <w:rFonts w:ascii="Calibri" w:hAnsi="Calibri"/>
        </w:rPr>
        <w:t>%</w:t>
      </w:r>
      <w:r w:rsidR="00AB5D88">
        <w:rPr>
          <w:rFonts w:ascii="Calibri" w:hAnsi="Calibri"/>
        </w:rPr>
        <w:t xml:space="preserve"> del gasto en Servicios Sociales</w:t>
      </w:r>
      <w:r w:rsidRPr="00AB5D88">
        <w:rPr>
          <w:rFonts w:ascii="Calibri" w:hAnsi="Calibri"/>
        </w:rPr>
        <w:t>. El incremento de la función Seguridad Social se encuentra influenciado principalmente por los mayores gastos destinados principalmente a la clase pasiva,</w:t>
      </w:r>
      <w:r w:rsidRPr="00AB5D88">
        <w:rPr>
          <w:rStyle w:val="Refdenotaalpie"/>
          <w:rFonts w:ascii="Calibri" w:hAnsi="Calibri"/>
        </w:rPr>
        <w:footnoteReference w:id="5"/>
      </w:r>
      <w:r w:rsidRPr="00AB5D88">
        <w:rPr>
          <w:rFonts w:ascii="Calibri" w:hAnsi="Calibri"/>
        </w:rPr>
        <w:t xml:space="preserve"> ya mencionados. El comportamiento del gasto en Educación y Cultura puede asociarse en buena medida a la evolución de la política salarial, </w:t>
      </w:r>
      <w:r w:rsidR="00315790">
        <w:rPr>
          <w:rFonts w:ascii="Calibri" w:hAnsi="Calibri"/>
        </w:rPr>
        <w:t xml:space="preserve">siendo </w:t>
      </w:r>
      <w:r w:rsidR="00A218BF">
        <w:rPr>
          <w:rFonts w:ascii="Calibri" w:hAnsi="Calibri"/>
        </w:rPr>
        <w:t>que</w:t>
      </w:r>
      <w:r w:rsidR="00315790">
        <w:rPr>
          <w:rFonts w:ascii="Calibri" w:hAnsi="Calibri"/>
        </w:rPr>
        <w:t xml:space="preserve"> el gasto en Personal</w:t>
      </w:r>
      <w:r w:rsidR="00A218BF">
        <w:rPr>
          <w:rFonts w:ascii="Calibri" w:hAnsi="Calibri"/>
        </w:rPr>
        <w:t xml:space="preserve"> representa aproximadamente 80</w:t>
      </w:r>
      <w:r w:rsidR="00953115">
        <w:rPr>
          <w:rFonts w:ascii="Calibri" w:hAnsi="Calibri"/>
        </w:rPr>
        <w:t>%</w:t>
      </w:r>
      <w:r w:rsidR="00A218BF">
        <w:rPr>
          <w:rFonts w:ascii="Calibri" w:hAnsi="Calibri"/>
        </w:rPr>
        <w:t xml:space="preserve"> del gasto para esta función</w:t>
      </w:r>
      <w:r w:rsidRPr="00AB5D88">
        <w:rPr>
          <w:rFonts w:ascii="Calibri" w:hAnsi="Calibri"/>
        </w:rPr>
        <w:t>.</w:t>
      </w:r>
    </w:p>
    <w:p w:rsidR="00AB5D88" w:rsidRDefault="00AB5D88" w:rsidP="004D39AC">
      <w:pPr>
        <w:suppressAutoHyphens/>
        <w:jc w:val="both"/>
        <w:rPr>
          <w:rFonts w:ascii="Calibri" w:hAnsi="Calibri"/>
        </w:rPr>
      </w:pPr>
    </w:p>
    <w:p w:rsidR="00A218BF" w:rsidRPr="00C126AA" w:rsidRDefault="00A218BF" w:rsidP="00A218BF">
      <w:pPr>
        <w:suppressAutoHyphens/>
        <w:jc w:val="both"/>
        <w:rPr>
          <w:rFonts w:ascii="Calibri" w:hAnsi="Calibri"/>
        </w:rPr>
      </w:pPr>
      <w:r w:rsidRPr="00C126AA">
        <w:rPr>
          <w:rFonts w:ascii="Calibri" w:hAnsi="Calibri"/>
        </w:rPr>
        <w:t>Por análogas razones, la suba del gasto en Servicios de Seguridad (42,9</w:t>
      </w:r>
      <w:r w:rsidR="00953115">
        <w:rPr>
          <w:rFonts w:ascii="Calibri" w:hAnsi="Calibri"/>
        </w:rPr>
        <w:t>%</w:t>
      </w:r>
      <w:r w:rsidRPr="00C126AA">
        <w:rPr>
          <w:rFonts w:ascii="Calibri" w:hAnsi="Calibri"/>
        </w:rPr>
        <w:t xml:space="preserve">) contiene tanto un efecto de arrastre de la política salarial y del incremento de los planteles de algunas jurisdicciones, como </w:t>
      </w:r>
      <w:r w:rsidRPr="00C126AA">
        <w:rPr>
          <w:rFonts w:ascii="Calibri" w:hAnsi="Calibri"/>
        </w:rPr>
        <w:lastRenderedPageBreak/>
        <w:t xml:space="preserve">los incrementos salariales que, bajo la forma de bonos, </w:t>
      </w:r>
      <w:r>
        <w:rPr>
          <w:rFonts w:ascii="Calibri" w:hAnsi="Calibri"/>
        </w:rPr>
        <w:t>adicionales y otras mejoras, se liquid</w:t>
      </w:r>
      <w:r w:rsidRPr="00C126AA">
        <w:rPr>
          <w:rFonts w:ascii="Calibri" w:hAnsi="Calibri"/>
        </w:rPr>
        <w:t>ó a los agentes en forma generalizada a partir del segundo trimestre.</w:t>
      </w:r>
    </w:p>
    <w:p w:rsidR="00A218BF" w:rsidRPr="00D342BB" w:rsidRDefault="00A218BF" w:rsidP="00A218BF">
      <w:pPr>
        <w:suppressAutoHyphens/>
        <w:jc w:val="both"/>
        <w:rPr>
          <w:rFonts w:ascii="Calibri" w:hAnsi="Calibri"/>
          <w:highlight w:val="yellow"/>
        </w:rPr>
      </w:pPr>
    </w:p>
    <w:p w:rsidR="00AB5D88" w:rsidRPr="001A0700" w:rsidRDefault="00AB5D88" w:rsidP="004D39AC">
      <w:pPr>
        <w:suppressAutoHyphens/>
        <w:jc w:val="both"/>
        <w:rPr>
          <w:rFonts w:ascii="Calibri" w:hAnsi="Calibri"/>
        </w:rPr>
      </w:pPr>
      <w:r>
        <w:rPr>
          <w:rFonts w:ascii="Calibri" w:hAnsi="Calibri"/>
        </w:rPr>
        <w:t>No obstante, los mayores incrementos relativos corresponden a las funciones más comprometidas con los desembolsos movilizados en función de los requerimientos de las políticas de asistencia social y salud por atención de la pandemia. Así, las funciones de Salud (42,1</w:t>
      </w:r>
      <w:r w:rsidR="00953115">
        <w:rPr>
          <w:rFonts w:ascii="Calibri" w:hAnsi="Calibri"/>
        </w:rPr>
        <w:t>%</w:t>
      </w:r>
      <w:r>
        <w:rPr>
          <w:rFonts w:ascii="Calibri" w:hAnsi="Calibri"/>
        </w:rPr>
        <w:t>), Promoción y Asistencia Social (46,8</w:t>
      </w:r>
      <w:r w:rsidR="00953115">
        <w:rPr>
          <w:rFonts w:ascii="Calibri" w:hAnsi="Calibri"/>
        </w:rPr>
        <w:t>%</w:t>
      </w:r>
      <w:r>
        <w:rPr>
          <w:rFonts w:ascii="Calibri" w:hAnsi="Calibri"/>
        </w:rPr>
        <w:t>) y Trabajo (51,2</w:t>
      </w:r>
      <w:r w:rsidR="00953115">
        <w:rPr>
          <w:rFonts w:ascii="Calibri" w:hAnsi="Calibri"/>
        </w:rPr>
        <w:t>%</w:t>
      </w:r>
      <w:r>
        <w:rPr>
          <w:rFonts w:ascii="Calibri" w:hAnsi="Calibri"/>
        </w:rPr>
        <w:t>) representaron las mayores variaciones relativas de la finalidad.</w:t>
      </w:r>
    </w:p>
    <w:p w:rsidR="0012107C" w:rsidRPr="001A0700" w:rsidRDefault="0012107C" w:rsidP="004D39AC">
      <w:pPr>
        <w:suppressAutoHyphens/>
        <w:jc w:val="both"/>
        <w:rPr>
          <w:rFonts w:ascii="Calibri" w:hAnsi="Calibri"/>
        </w:rPr>
      </w:pPr>
    </w:p>
    <w:p w:rsidR="0012107C" w:rsidRPr="001A0700" w:rsidRDefault="0012107C" w:rsidP="000B742E">
      <w:pPr>
        <w:suppressAutoHyphens/>
        <w:ind w:left="851" w:right="850"/>
        <w:jc w:val="center"/>
        <w:rPr>
          <w:rFonts w:ascii="Calibri" w:hAnsi="Calibri"/>
        </w:rPr>
      </w:pPr>
      <w:r w:rsidRPr="001A0700">
        <w:rPr>
          <w:rFonts w:ascii="Calibri" w:hAnsi="Calibri"/>
          <w:b/>
        </w:rPr>
        <w:t>Cuadro 4.</w:t>
      </w:r>
      <w:r w:rsidRPr="001A0700">
        <w:rPr>
          <w:rFonts w:ascii="Calibri" w:hAnsi="Calibri"/>
        </w:rPr>
        <w:t xml:space="preserve"> Composición del Gasto Público de la APNF. Clasificación por Finalidad y Funciones de Servicios Sociales base devengado.</w:t>
      </w:r>
    </w:p>
    <w:p w:rsidR="0012107C" w:rsidRPr="001A0700" w:rsidRDefault="0012107C" w:rsidP="000B742E">
      <w:pPr>
        <w:suppressAutoHyphens/>
        <w:jc w:val="center"/>
        <w:rPr>
          <w:rFonts w:ascii="Calibri" w:hAnsi="Calibri"/>
        </w:rPr>
      </w:pPr>
      <w:r w:rsidRPr="001A0700">
        <w:rPr>
          <w:rFonts w:ascii="Calibri" w:hAnsi="Calibri"/>
        </w:rPr>
        <w:t xml:space="preserve">Comparativo I Semestre </w:t>
      </w:r>
      <w:r w:rsidR="00D342BB">
        <w:rPr>
          <w:rFonts w:ascii="Calibri" w:hAnsi="Calibri"/>
        </w:rPr>
        <w:t>2020-2019</w:t>
      </w:r>
    </w:p>
    <w:p w:rsidR="0012107C" w:rsidRPr="001A0700" w:rsidRDefault="0012107C" w:rsidP="000B742E">
      <w:pPr>
        <w:suppressAutoHyphens/>
        <w:spacing w:after="120"/>
        <w:jc w:val="center"/>
        <w:rPr>
          <w:rFonts w:ascii="Calibri" w:hAnsi="Calibri"/>
        </w:rPr>
      </w:pPr>
      <w:r w:rsidRPr="001A0700">
        <w:rPr>
          <w:rFonts w:ascii="Calibri" w:hAnsi="Calibri"/>
        </w:rPr>
        <w:t>En millones de pesos</w:t>
      </w:r>
    </w:p>
    <w:p w:rsidR="0012107C" w:rsidRPr="001A0700" w:rsidRDefault="009B4274" w:rsidP="000B742E">
      <w:pPr>
        <w:suppressAutoHyphens/>
        <w:jc w:val="center"/>
        <w:rPr>
          <w:rFonts w:ascii="Calibri" w:hAnsi="Calibri"/>
        </w:rPr>
      </w:pPr>
      <w:r>
        <w:pict>
          <v:shape id="_x0000_i1032" type="#_x0000_t75" style="width:393pt;height:223.5pt">
            <v:imagedata r:id="rId17" o:title=""/>
          </v:shape>
        </w:pict>
      </w:r>
    </w:p>
    <w:p w:rsidR="0012107C" w:rsidRPr="001A0700" w:rsidRDefault="0012107C" w:rsidP="00D87EED">
      <w:pPr>
        <w:suppressAutoHyphens/>
        <w:ind w:left="851"/>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p w:rsidR="0012107C" w:rsidRPr="001A0700" w:rsidRDefault="0012107C" w:rsidP="004D39AC">
      <w:pPr>
        <w:suppressAutoHyphens/>
        <w:jc w:val="both"/>
        <w:rPr>
          <w:rFonts w:ascii="Calibri" w:hAnsi="Calibri"/>
        </w:rPr>
      </w:pPr>
    </w:p>
    <w:p w:rsidR="0012107C" w:rsidRPr="00432FE7" w:rsidRDefault="0012107C" w:rsidP="003D4804">
      <w:pPr>
        <w:suppressAutoHyphens/>
        <w:jc w:val="both"/>
        <w:rPr>
          <w:rFonts w:ascii="Calibri" w:hAnsi="Calibri"/>
        </w:rPr>
      </w:pPr>
      <w:r w:rsidRPr="00432FE7">
        <w:rPr>
          <w:rFonts w:ascii="Calibri" w:hAnsi="Calibri"/>
        </w:rPr>
        <w:t xml:space="preserve">En cuanto al gasto en la finalidad Administración Gubernamental, </w:t>
      </w:r>
      <w:r w:rsidR="00C126AA" w:rsidRPr="00432FE7">
        <w:rPr>
          <w:rFonts w:ascii="Calibri" w:hAnsi="Calibri"/>
        </w:rPr>
        <w:t>su</w:t>
      </w:r>
      <w:r w:rsidRPr="00432FE7">
        <w:rPr>
          <w:rFonts w:ascii="Calibri" w:hAnsi="Calibri"/>
        </w:rPr>
        <w:t xml:space="preserve"> aumento interanual de </w:t>
      </w:r>
      <w:r w:rsidR="00C126AA" w:rsidRPr="00432FE7">
        <w:rPr>
          <w:rFonts w:ascii="Calibri" w:hAnsi="Calibri"/>
        </w:rPr>
        <w:t>29,8</w:t>
      </w:r>
      <w:r w:rsidRPr="00432FE7">
        <w:rPr>
          <w:rFonts w:ascii="Calibri" w:hAnsi="Calibri"/>
        </w:rPr>
        <w:t>%</w:t>
      </w:r>
      <w:r w:rsidR="00C126AA" w:rsidRPr="00432FE7">
        <w:rPr>
          <w:rFonts w:ascii="Calibri" w:hAnsi="Calibri"/>
        </w:rPr>
        <w:t xml:space="preserve"> refleja el efecto de la merma relativa de ingresos en las transferencias (coparticipación y subsidios) de las provincias a los municipios</w:t>
      </w:r>
      <w:r w:rsidR="00432FE7">
        <w:rPr>
          <w:rFonts w:ascii="Calibri" w:hAnsi="Calibri"/>
        </w:rPr>
        <w:t>, que siguen</w:t>
      </w:r>
      <w:r w:rsidR="00432FE7" w:rsidRPr="00432FE7">
        <w:rPr>
          <w:rFonts w:ascii="Calibri" w:hAnsi="Calibri"/>
        </w:rPr>
        <w:t xml:space="preserve"> la dinámica de la recaudación tributaria</w:t>
      </w:r>
      <w:r w:rsidRPr="00432FE7">
        <w:rPr>
          <w:rFonts w:ascii="Calibri" w:hAnsi="Calibri"/>
        </w:rPr>
        <w:t xml:space="preserve">, </w:t>
      </w:r>
      <w:r w:rsidR="00C126AA" w:rsidRPr="00432FE7">
        <w:rPr>
          <w:rFonts w:ascii="Calibri" w:hAnsi="Calibri"/>
        </w:rPr>
        <w:t>teniendo en cuenta</w:t>
      </w:r>
      <w:r w:rsidRPr="00432FE7">
        <w:rPr>
          <w:rFonts w:ascii="Calibri" w:hAnsi="Calibri"/>
        </w:rPr>
        <w:t xml:space="preserve"> que </w:t>
      </w:r>
      <w:r w:rsidR="00432FE7" w:rsidRPr="00432FE7">
        <w:rPr>
          <w:rFonts w:ascii="Calibri" w:hAnsi="Calibri"/>
        </w:rPr>
        <w:t>prácticamente</w:t>
      </w:r>
      <w:r w:rsidRPr="00432FE7">
        <w:rPr>
          <w:rFonts w:ascii="Calibri" w:hAnsi="Calibri"/>
        </w:rPr>
        <w:t xml:space="preserve"> la mitad del gasto de la misma corresponde a la función relaciones interiores.</w:t>
      </w:r>
    </w:p>
    <w:p w:rsidR="0012107C" w:rsidRPr="00432FE7" w:rsidRDefault="0012107C" w:rsidP="004D39AC">
      <w:pPr>
        <w:suppressAutoHyphens/>
        <w:jc w:val="both"/>
        <w:rPr>
          <w:rFonts w:ascii="Calibri" w:hAnsi="Calibri"/>
        </w:rPr>
      </w:pPr>
    </w:p>
    <w:p w:rsidR="0012107C" w:rsidRPr="00432FE7" w:rsidRDefault="0012107C" w:rsidP="004D39AC">
      <w:pPr>
        <w:suppressAutoHyphens/>
        <w:jc w:val="both"/>
        <w:rPr>
          <w:rFonts w:ascii="Calibri" w:hAnsi="Calibri"/>
          <w:b/>
        </w:rPr>
      </w:pPr>
      <w:r w:rsidRPr="00432FE7">
        <w:rPr>
          <w:rFonts w:ascii="Calibri" w:hAnsi="Calibri"/>
        </w:rPr>
        <w:t xml:space="preserve">Por último, la finalidad Servicios Económicos </w:t>
      </w:r>
      <w:r w:rsidR="00C126AA" w:rsidRPr="00432FE7">
        <w:rPr>
          <w:rFonts w:ascii="Calibri" w:hAnsi="Calibri"/>
        </w:rPr>
        <w:t>disminuye el gasto en términos absolutos en 1,3</w:t>
      </w:r>
      <w:r w:rsidR="00953115">
        <w:rPr>
          <w:rFonts w:ascii="Calibri" w:hAnsi="Calibri"/>
        </w:rPr>
        <w:t>%</w:t>
      </w:r>
      <w:r w:rsidRPr="00432FE7">
        <w:rPr>
          <w:rFonts w:ascii="Calibri" w:hAnsi="Calibri"/>
        </w:rPr>
        <w:t xml:space="preserve">, </w:t>
      </w:r>
      <w:r w:rsidR="00C126AA" w:rsidRPr="00432FE7">
        <w:rPr>
          <w:rFonts w:ascii="Calibri" w:hAnsi="Calibri"/>
        </w:rPr>
        <w:t>reflejándose en ello la priorización de políticas debido a la coyuntura sanitaria ya mencionada. En esta finalidad</w:t>
      </w:r>
      <w:r w:rsidR="00432FE7" w:rsidRPr="00432FE7">
        <w:rPr>
          <w:rFonts w:ascii="Calibri" w:hAnsi="Calibri"/>
        </w:rPr>
        <w:t xml:space="preserve"> se destaca igualmente la participación de</w:t>
      </w:r>
      <w:r w:rsidRPr="00432FE7">
        <w:rPr>
          <w:rFonts w:ascii="Calibri" w:hAnsi="Calibri"/>
        </w:rPr>
        <w:t xml:space="preserve"> las funciones de Transporte y de Energía, Combustibles y Minería.</w:t>
      </w:r>
    </w:p>
    <w:p w:rsidR="0012107C" w:rsidRPr="00432FE7" w:rsidRDefault="0012107C" w:rsidP="004D39AC">
      <w:pPr>
        <w:suppressAutoHyphens/>
        <w:jc w:val="both"/>
        <w:rPr>
          <w:rFonts w:ascii="Trebuchet MS" w:hAnsi="Trebuchet MS"/>
        </w:rPr>
      </w:pPr>
    </w:p>
    <w:p w:rsidR="0012107C" w:rsidRPr="00432FE7" w:rsidRDefault="0012107C" w:rsidP="004D39AC">
      <w:pPr>
        <w:suppressAutoHyphens/>
        <w:jc w:val="both"/>
        <w:rPr>
          <w:rFonts w:ascii="Calibri" w:hAnsi="Calibri"/>
        </w:rPr>
      </w:pPr>
      <w:r w:rsidRPr="00432FE7">
        <w:rPr>
          <w:rFonts w:ascii="Calibri" w:hAnsi="Calibri"/>
        </w:rPr>
        <w:lastRenderedPageBreak/>
        <w:t>El Gráfico 4 muestra la participación relativa de las finalidades en el primer semestre de 20</w:t>
      </w:r>
      <w:r w:rsidR="00432FE7" w:rsidRPr="00432FE7">
        <w:rPr>
          <w:rFonts w:ascii="Calibri" w:hAnsi="Calibri"/>
        </w:rPr>
        <w:t>20</w:t>
      </w:r>
      <w:r w:rsidRPr="00432FE7">
        <w:rPr>
          <w:rFonts w:ascii="Calibri" w:hAnsi="Calibri"/>
        </w:rPr>
        <w:t>, donde puede verse la relevancia de los Servicios Sociales, con una participación de 5</w:t>
      </w:r>
      <w:r w:rsidR="00432FE7" w:rsidRPr="00432FE7">
        <w:rPr>
          <w:rFonts w:ascii="Calibri" w:hAnsi="Calibri"/>
        </w:rPr>
        <w:t>8</w:t>
      </w:r>
      <w:r w:rsidRPr="00432FE7">
        <w:rPr>
          <w:rFonts w:ascii="Calibri" w:hAnsi="Calibri"/>
        </w:rPr>
        <w:t>,1</w:t>
      </w:r>
      <w:r w:rsidR="00953115">
        <w:rPr>
          <w:rFonts w:ascii="Calibri" w:hAnsi="Calibri"/>
        </w:rPr>
        <w:t>%</w:t>
      </w:r>
      <w:r w:rsidRPr="00432FE7">
        <w:rPr>
          <w:rFonts w:ascii="Calibri" w:hAnsi="Calibri"/>
        </w:rPr>
        <w:t xml:space="preserve"> en el gasto total, superando significativamente la participación de la finalidad que le sigue en importancia, la Administración Gubernamental (22,</w:t>
      </w:r>
      <w:r w:rsidR="00432FE7" w:rsidRPr="00432FE7">
        <w:rPr>
          <w:rFonts w:ascii="Calibri" w:hAnsi="Calibri"/>
        </w:rPr>
        <w:t>2</w:t>
      </w:r>
      <w:r w:rsidR="00953115">
        <w:rPr>
          <w:rFonts w:ascii="Calibri" w:hAnsi="Calibri"/>
        </w:rPr>
        <w:t>%</w:t>
      </w:r>
      <w:r w:rsidRPr="00432FE7">
        <w:rPr>
          <w:rFonts w:ascii="Calibri" w:hAnsi="Calibri"/>
        </w:rPr>
        <w:t>).</w:t>
      </w:r>
    </w:p>
    <w:p w:rsidR="0012107C" w:rsidRPr="00432FE7" w:rsidRDefault="0012107C" w:rsidP="004D39AC">
      <w:pPr>
        <w:suppressAutoHyphens/>
        <w:jc w:val="both"/>
        <w:rPr>
          <w:rFonts w:ascii="Calibri" w:hAnsi="Calibri"/>
        </w:rPr>
      </w:pPr>
    </w:p>
    <w:p w:rsidR="0012107C" w:rsidRPr="00487BB7" w:rsidRDefault="0012107C" w:rsidP="004D39AC">
      <w:pPr>
        <w:suppressAutoHyphens/>
        <w:jc w:val="both"/>
        <w:rPr>
          <w:rFonts w:ascii="Calibri" w:hAnsi="Calibri"/>
        </w:rPr>
      </w:pPr>
      <w:r w:rsidRPr="00432FE7">
        <w:rPr>
          <w:rFonts w:ascii="Calibri" w:hAnsi="Calibri"/>
        </w:rPr>
        <w:t xml:space="preserve">Por último, la finalidad Deuda Pública </w:t>
      </w:r>
      <w:r w:rsidR="00432FE7" w:rsidRPr="00432FE7">
        <w:rPr>
          <w:rFonts w:ascii="Calibri" w:hAnsi="Calibri"/>
        </w:rPr>
        <w:t>ratifica la tendencia de retroceso significativo en su participación en</w:t>
      </w:r>
      <w:r w:rsidRPr="00432FE7">
        <w:rPr>
          <w:rFonts w:ascii="Calibri" w:hAnsi="Calibri"/>
        </w:rPr>
        <w:t xml:space="preserve"> el </w:t>
      </w:r>
      <w:r w:rsidR="00432FE7" w:rsidRPr="00432FE7">
        <w:rPr>
          <w:rFonts w:ascii="Calibri" w:hAnsi="Calibri"/>
        </w:rPr>
        <w:t xml:space="preserve">gasto –que comienza a observarse desde el cuarto trimestre de 2019-, pasando a equivaler </w:t>
      </w:r>
      <w:r w:rsidRPr="00432FE7">
        <w:rPr>
          <w:rFonts w:ascii="Calibri" w:hAnsi="Calibri"/>
        </w:rPr>
        <w:t>3,5</w:t>
      </w:r>
      <w:r w:rsidR="00953115">
        <w:rPr>
          <w:rFonts w:ascii="Calibri" w:hAnsi="Calibri"/>
        </w:rPr>
        <w:t>%</w:t>
      </w:r>
      <w:r w:rsidR="00A70A44">
        <w:rPr>
          <w:rFonts w:ascii="Calibri" w:hAnsi="Calibri"/>
        </w:rPr>
        <w:t xml:space="preserve"> del total</w:t>
      </w:r>
      <w:r w:rsidR="00600287">
        <w:rPr>
          <w:rFonts w:ascii="Calibri" w:hAnsi="Calibri"/>
        </w:rPr>
        <w:t xml:space="preserve"> de erogaciones</w:t>
      </w:r>
      <w:r w:rsidRPr="00432FE7">
        <w:rPr>
          <w:rFonts w:ascii="Calibri" w:hAnsi="Calibri"/>
        </w:rPr>
        <w:t>.</w:t>
      </w:r>
    </w:p>
    <w:p w:rsidR="0012107C" w:rsidRDefault="0012107C" w:rsidP="004D39AC">
      <w:pPr>
        <w:suppressAutoHyphens/>
        <w:jc w:val="both"/>
        <w:rPr>
          <w:rFonts w:ascii="Calibri" w:hAnsi="Calibri"/>
        </w:rPr>
      </w:pPr>
    </w:p>
    <w:p w:rsidR="0012107C" w:rsidRPr="00F133D6" w:rsidRDefault="0012107C" w:rsidP="000B742E">
      <w:pPr>
        <w:suppressAutoHyphens/>
        <w:jc w:val="center"/>
        <w:rPr>
          <w:rFonts w:ascii="Calibri" w:hAnsi="Calibri"/>
        </w:rPr>
      </w:pPr>
      <w:r w:rsidRPr="00F133D6">
        <w:rPr>
          <w:rFonts w:ascii="Calibri" w:hAnsi="Calibri"/>
          <w:b/>
        </w:rPr>
        <w:t xml:space="preserve">Gráfico </w:t>
      </w:r>
      <w:r>
        <w:rPr>
          <w:rFonts w:ascii="Calibri" w:hAnsi="Calibri"/>
          <w:b/>
        </w:rPr>
        <w:t>4</w:t>
      </w:r>
      <w:r w:rsidRPr="00F133D6">
        <w:rPr>
          <w:rFonts w:ascii="Calibri" w:hAnsi="Calibri"/>
          <w:b/>
        </w:rPr>
        <w:t>.</w:t>
      </w:r>
      <w:r>
        <w:rPr>
          <w:rFonts w:ascii="Calibri" w:hAnsi="Calibri"/>
        </w:rPr>
        <w:t xml:space="preserve"> </w:t>
      </w:r>
      <w:r w:rsidRPr="00F133D6">
        <w:rPr>
          <w:rFonts w:ascii="Calibri" w:hAnsi="Calibri"/>
        </w:rPr>
        <w:t>Estructura del Gasto por Finalidad y Funciones</w:t>
      </w:r>
      <w:r>
        <w:rPr>
          <w:rFonts w:ascii="Calibri" w:hAnsi="Calibri"/>
        </w:rPr>
        <w:t xml:space="preserve"> de Servicios Sociales</w:t>
      </w:r>
    </w:p>
    <w:p w:rsidR="0012107C" w:rsidRDefault="0012107C" w:rsidP="000B742E">
      <w:pPr>
        <w:suppressAutoHyphens/>
        <w:spacing w:after="120"/>
        <w:jc w:val="center"/>
        <w:rPr>
          <w:rFonts w:ascii="Calibri" w:hAnsi="Calibri"/>
        </w:rPr>
      </w:pPr>
      <w:r w:rsidRPr="00F133D6">
        <w:rPr>
          <w:rFonts w:ascii="Calibri" w:hAnsi="Calibri"/>
        </w:rPr>
        <w:t xml:space="preserve">I </w:t>
      </w:r>
      <w:r>
        <w:rPr>
          <w:rFonts w:ascii="Calibri" w:hAnsi="Calibri"/>
        </w:rPr>
        <w:t>Se</w:t>
      </w:r>
      <w:r w:rsidRPr="00F133D6">
        <w:rPr>
          <w:rFonts w:ascii="Calibri" w:hAnsi="Calibri"/>
        </w:rPr>
        <w:t>mestre 20</w:t>
      </w:r>
      <w:r w:rsidR="00D342BB">
        <w:rPr>
          <w:rFonts w:ascii="Calibri" w:hAnsi="Calibri"/>
        </w:rPr>
        <w:t>20</w:t>
      </w:r>
    </w:p>
    <w:p w:rsidR="0012107C" w:rsidRDefault="009B4274" w:rsidP="00D87EED">
      <w:pPr>
        <w:suppressAutoHyphens/>
        <w:spacing w:before="120" w:after="120"/>
        <w:jc w:val="center"/>
        <w:rPr>
          <w:rFonts w:ascii="Calibri" w:hAnsi="Calibri"/>
          <w:b/>
          <w:noProof/>
          <w:sz w:val="20"/>
          <w:szCs w:val="20"/>
          <w:lang w:val="es-AR" w:eastAsia="es-AR"/>
        </w:rPr>
      </w:pPr>
      <w:r>
        <w:rPr>
          <w:rFonts w:ascii="Calibri" w:hAnsi="Calibri"/>
          <w:b/>
          <w:noProof/>
          <w:sz w:val="20"/>
          <w:szCs w:val="20"/>
          <w:lang w:val="es-AR" w:eastAsia="es-AR"/>
        </w:rPr>
        <w:pict w14:anchorId="6A1A875D">
          <v:shape id="_x0000_i1033" type="#_x0000_t75" style="width:482.25pt;height:249.75pt;mso-left-percent:-10001;mso-top-percent:-10001;mso-position-horizontal:absolute;mso-position-horizontal-relative:char;mso-position-vertical:absolute;mso-position-vertical-relative:line;mso-left-percent:-10001;mso-top-percent:-10001">
            <v:imagedata r:id="rId18" o:title=""/>
          </v:shape>
        </w:pict>
      </w:r>
    </w:p>
    <w:p w:rsidR="0012107C" w:rsidRPr="00C96EA5" w:rsidRDefault="0012107C" w:rsidP="00C96EA5">
      <w:pPr>
        <w:suppressAutoHyphens/>
        <w:spacing w:before="120" w:after="120"/>
        <w:jc w:val="both"/>
        <w:rPr>
          <w:rFonts w:ascii="Calibri" w:hAnsi="Calibri"/>
          <w:sz w:val="20"/>
          <w:szCs w:val="20"/>
        </w:rPr>
      </w:pPr>
      <w:r w:rsidRPr="000B742E">
        <w:rPr>
          <w:rFonts w:ascii="Calibri" w:hAnsi="Calibri"/>
          <w:b/>
          <w:sz w:val="20"/>
          <w:szCs w:val="20"/>
        </w:rPr>
        <w:t>Fuente</w:t>
      </w:r>
      <w:r w:rsidRPr="00487BB7">
        <w:rPr>
          <w:rFonts w:ascii="Calibri" w:hAnsi="Calibri"/>
          <w:sz w:val="20"/>
          <w:szCs w:val="20"/>
        </w:rPr>
        <w:t xml:space="preserve">: </w:t>
      </w:r>
      <w:r>
        <w:rPr>
          <w:rFonts w:ascii="Calibri" w:hAnsi="Calibri"/>
          <w:sz w:val="20"/>
          <w:szCs w:val="20"/>
        </w:rPr>
        <w:t>Secretaria de Hacienda en base a información provista por las jurisdicciones</w:t>
      </w:r>
    </w:p>
    <w:p w:rsidR="0012107C" w:rsidRPr="002F6510" w:rsidRDefault="0012107C" w:rsidP="002F6510">
      <w:pPr>
        <w:pStyle w:val="Ttulo1"/>
        <w:numPr>
          <w:ilvl w:val="0"/>
          <w:numId w:val="0"/>
        </w:numPr>
        <w:pBdr>
          <w:bottom w:val="single" w:sz="4" w:space="1" w:color="auto"/>
        </w:pBdr>
        <w:suppressAutoHyphens/>
        <w:spacing w:before="0" w:after="0"/>
        <w:rPr>
          <w:rFonts w:ascii="Calibri" w:hAnsi="Calibri" w:cs="Times New Roman"/>
          <w:color w:val="595959"/>
          <w:sz w:val="28"/>
          <w:szCs w:val="28"/>
        </w:rPr>
      </w:pPr>
      <w:bookmarkStart w:id="29" w:name="_Toc532576019"/>
      <w:bookmarkStart w:id="30" w:name="_Toc532576465"/>
      <w:bookmarkStart w:id="31" w:name="_Toc532576666"/>
      <w:r>
        <w:br w:type="page"/>
      </w:r>
      <w:bookmarkStart w:id="32" w:name="_Toc98777236"/>
      <w:r w:rsidRPr="002F6510">
        <w:rPr>
          <w:rFonts w:ascii="Calibri" w:hAnsi="Calibri" w:cs="Times New Roman"/>
          <w:color w:val="595959"/>
          <w:sz w:val="28"/>
          <w:szCs w:val="28"/>
        </w:rPr>
        <w:lastRenderedPageBreak/>
        <w:t>ANEXO: Esquema AIF</w:t>
      </w:r>
      <w:bookmarkEnd w:id="29"/>
      <w:bookmarkEnd w:id="30"/>
      <w:bookmarkEnd w:id="31"/>
      <w:bookmarkEnd w:id="32"/>
    </w:p>
    <w:p w:rsidR="0012107C" w:rsidRDefault="0012107C" w:rsidP="009D5F8A">
      <w:pPr>
        <w:pBdr>
          <w:top w:val="single" w:sz="4" w:space="1" w:color="auto"/>
        </w:pBdr>
        <w:suppressAutoHyphens/>
        <w:ind w:right="39"/>
        <w:jc w:val="center"/>
        <w:rPr>
          <w:rFonts w:ascii="Calibri" w:hAnsi="Calibri"/>
        </w:rPr>
      </w:pPr>
      <w:r w:rsidRPr="00F133D6">
        <w:rPr>
          <w:rFonts w:ascii="Calibri" w:hAnsi="Calibri"/>
          <w:b/>
        </w:rPr>
        <w:t xml:space="preserve">Cuadro </w:t>
      </w:r>
      <w:r>
        <w:rPr>
          <w:rFonts w:ascii="Calibri" w:hAnsi="Calibri"/>
          <w:b/>
        </w:rPr>
        <w:t>5</w:t>
      </w:r>
      <w:r w:rsidRPr="00F133D6">
        <w:rPr>
          <w:rFonts w:ascii="Calibri" w:hAnsi="Calibri"/>
          <w:b/>
        </w:rPr>
        <w:t>.</w:t>
      </w:r>
      <w:r w:rsidRPr="00F133D6">
        <w:rPr>
          <w:rFonts w:ascii="Calibri" w:hAnsi="Calibri"/>
        </w:rPr>
        <w:t xml:space="preserve"> </w:t>
      </w:r>
      <w:r>
        <w:rPr>
          <w:rFonts w:ascii="Calibri" w:hAnsi="Calibri"/>
        </w:rPr>
        <w:t>Esquema Ahorro Inversión y Financiamiento</w:t>
      </w:r>
      <w:r w:rsidRPr="00F133D6">
        <w:rPr>
          <w:rFonts w:ascii="Calibri" w:hAnsi="Calibri"/>
        </w:rPr>
        <w:t xml:space="preserve"> de la APNF.</w:t>
      </w:r>
    </w:p>
    <w:p w:rsidR="0012107C" w:rsidRPr="00F133D6" w:rsidRDefault="0012107C" w:rsidP="009741DA">
      <w:pPr>
        <w:suppressAutoHyphens/>
        <w:spacing w:after="60"/>
        <w:jc w:val="center"/>
        <w:rPr>
          <w:rFonts w:ascii="Calibri" w:hAnsi="Calibri"/>
        </w:rPr>
      </w:pPr>
      <w:r>
        <w:rPr>
          <w:rFonts w:ascii="Calibri" w:hAnsi="Calibri"/>
        </w:rPr>
        <w:t>Trimestres I y II 20</w:t>
      </w:r>
      <w:r w:rsidR="00D342BB">
        <w:rPr>
          <w:rFonts w:ascii="Calibri" w:hAnsi="Calibri"/>
        </w:rPr>
        <w:t>20</w:t>
      </w:r>
    </w:p>
    <w:p w:rsidR="0012107C" w:rsidRDefault="0012107C" w:rsidP="009741DA">
      <w:pPr>
        <w:suppressAutoHyphens/>
        <w:spacing w:after="60"/>
        <w:ind w:left="851" w:right="850"/>
        <w:jc w:val="center"/>
        <w:rPr>
          <w:rFonts w:ascii="Calibri" w:hAnsi="Calibri"/>
        </w:rPr>
      </w:pPr>
      <w:r>
        <w:rPr>
          <w:rFonts w:ascii="Calibri" w:hAnsi="Calibri"/>
        </w:rPr>
        <w:t>B</w:t>
      </w:r>
      <w:r w:rsidRPr="00F133D6">
        <w:rPr>
          <w:rFonts w:ascii="Calibri" w:hAnsi="Calibri"/>
        </w:rPr>
        <w:t>ase devengado</w:t>
      </w:r>
      <w:r>
        <w:rPr>
          <w:rFonts w:ascii="Calibri" w:hAnsi="Calibri"/>
        </w:rPr>
        <w:t xml:space="preserve"> - En millones de pesos</w:t>
      </w:r>
    </w:p>
    <w:p w:rsidR="0012107C" w:rsidRDefault="009B4274" w:rsidP="00526C6D">
      <w:pPr>
        <w:jc w:val="center"/>
        <w:rPr>
          <w:rFonts w:ascii="Calibri" w:hAnsi="Calibri" w:cs="Arial"/>
        </w:rPr>
      </w:pPr>
      <w:r>
        <w:pict>
          <v:shape id="_x0000_i1034" type="#_x0000_t75" style="width:369pt;height:545.25pt">
            <v:imagedata r:id="rId19" o:title=""/>
          </v:shape>
        </w:pict>
      </w:r>
    </w:p>
    <w:p w:rsidR="0012107C" w:rsidRPr="001A0700" w:rsidRDefault="0012107C" w:rsidP="00D24569">
      <w:pPr>
        <w:suppressAutoHyphens/>
        <w:ind w:left="1134"/>
        <w:jc w:val="both"/>
        <w:rPr>
          <w:rFonts w:ascii="Calibri" w:hAnsi="Calibri"/>
          <w:sz w:val="20"/>
          <w:szCs w:val="20"/>
        </w:rPr>
      </w:pPr>
      <w:r w:rsidRPr="001A0700">
        <w:rPr>
          <w:rFonts w:ascii="Calibri" w:hAnsi="Calibri"/>
          <w:b/>
          <w:sz w:val="20"/>
          <w:szCs w:val="20"/>
        </w:rPr>
        <w:t>Fuente</w:t>
      </w:r>
      <w:r w:rsidRPr="001A0700">
        <w:rPr>
          <w:rFonts w:ascii="Calibri" w:hAnsi="Calibri"/>
          <w:sz w:val="20"/>
          <w:szCs w:val="20"/>
        </w:rPr>
        <w:t>: Secretaria de Hacienda en base a información provista por las jurisdicciones</w:t>
      </w:r>
    </w:p>
    <w:sectPr w:rsidR="0012107C" w:rsidRPr="001A0700" w:rsidSect="007A5580">
      <w:pgSz w:w="11907" w:h="16839" w:code="9"/>
      <w:pgMar w:top="1701" w:right="1134" w:bottom="1701" w:left="1134" w:header="567" w:footer="56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07C" w:rsidRDefault="0012107C">
      <w:r>
        <w:separator/>
      </w:r>
    </w:p>
  </w:endnote>
  <w:endnote w:type="continuationSeparator" w:id="0">
    <w:p w:rsidR="0012107C" w:rsidRDefault="00121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2107C" w:rsidRDefault="0012107C"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Pr="006E1993" w:rsidRDefault="0012107C" w:rsidP="006E1993">
    <w:pPr>
      <w:pStyle w:val="Piedepgina"/>
      <w:jc w:val="right"/>
      <w:rPr>
        <w:rFonts w:ascii="Calibri" w:hAnsi="Calibri"/>
        <w:color w:val="595959"/>
      </w:rPr>
    </w:pPr>
    <w:r w:rsidRPr="006E1993">
      <w:rPr>
        <w:rFonts w:ascii="Calibri" w:hAnsi="Calibri"/>
        <w:color w:val="595959"/>
      </w:rPr>
      <w:t>___</w:t>
    </w:r>
    <w:r>
      <w:rPr>
        <w:rFonts w:ascii="Calibri" w:hAnsi="Calibri"/>
        <w:color w:val="595959"/>
      </w:rPr>
      <w:t>_________</w:t>
    </w:r>
    <w:r w:rsidRPr="006E1993">
      <w:rPr>
        <w:rFonts w:ascii="Calibri" w:hAnsi="Calibri"/>
        <w:color w:val="595959"/>
      </w:rPr>
      <w:t>___________________________________________________________________</w:t>
    </w:r>
    <w:r>
      <w:rPr>
        <w:rFonts w:ascii="Calibri" w:hAnsi="Calibri"/>
        <w:color w:val="595959"/>
      </w:rPr>
      <w:t>_</w:t>
    </w:r>
  </w:p>
  <w:p w:rsidR="0012107C" w:rsidRDefault="0012107C" w:rsidP="007A5580">
    <w:pPr>
      <w:pStyle w:val="Piedepgina"/>
      <w:tabs>
        <w:tab w:val="clear" w:pos="4252"/>
        <w:tab w:val="clear" w:pos="8504"/>
        <w:tab w:val="right" w:pos="9639"/>
      </w:tabs>
      <w:jc w:val="right"/>
      <w:rPr>
        <w:rFonts w:ascii="Calibri" w:hAnsi="Calibri"/>
        <w:noProof/>
        <w:color w:val="595959"/>
        <w:sz w:val="18"/>
        <w:szCs w:val="18"/>
      </w:rPr>
    </w:pPr>
    <w:r w:rsidRPr="006E1993">
      <w:rPr>
        <w:rFonts w:ascii="Calibri" w:hAnsi="Calibri"/>
        <w:color w:val="595959"/>
      </w:rPr>
      <w:fldChar w:fldCharType="begin"/>
    </w:r>
    <w:r w:rsidRPr="006E1993">
      <w:rPr>
        <w:rFonts w:ascii="Calibri" w:hAnsi="Calibri"/>
        <w:color w:val="595959"/>
      </w:rPr>
      <w:instrText xml:space="preserve"> PAGE   \* MERGEFORMAT </w:instrText>
    </w:r>
    <w:r w:rsidRPr="006E1993">
      <w:rPr>
        <w:rFonts w:ascii="Calibri" w:hAnsi="Calibri"/>
        <w:color w:val="595959"/>
      </w:rPr>
      <w:fldChar w:fldCharType="separate"/>
    </w:r>
    <w:r w:rsidR="009B4274">
      <w:rPr>
        <w:rFonts w:ascii="Calibri" w:hAnsi="Calibri"/>
        <w:noProof/>
        <w:color w:val="595959"/>
      </w:rPr>
      <w:t>2</w:t>
    </w:r>
    <w:r w:rsidRPr="006E1993">
      <w:rPr>
        <w:rFonts w:ascii="Calibri" w:hAnsi="Calibri"/>
        <w:color w:val="595959"/>
      </w:rPr>
      <w:fldChar w:fldCharType="end"/>
    </w:r>
    <w:r>
      <w:rPr>
        <w:rFonts w:ascii="Calibri" w:hAnsi="Calibri"/>
        <w:noProof/>
        <w:color w:val="595959"/>
      </w:rPr>
      <w:tab/>
    </w:r>
    <w:r w:rsidRPr="00B64D16">
      <w:rPr>
        <w:rFonts w:ascii="Calibri" w:hAnsi="Calibri"/>
        <w:noProof/>
        <w:color w:val="595959"/>
        <w:sz w:val="18"/>
        <w:szCs w:val="18"/>
      </w:rPr>
      <w:t>INFORME DE COYUNTURA</w:t>
    </w:r>
    <w:r>
      <w:rPr>
        <w:rFonts w:ascii="Calibri" w:hAnsi="Calibri"/>
        <w:noProof/>
        <w:color w:val="595959"/>
        <w:sz w:val="18"/>
        <w:szCs w:val="18"/>
      </w:rPr>
      <w:t xml:space="preserve"> –</w:t>
    </w:r>
    <w:r w:rsidRPr="00B64D16">
      <w:rPr>
        <w:rFonts w:ascii="Calibri" w:hAnsi="Calibri"/>
        <w:noProof/>
        <w:color w:val="595959"/>
        <w:sz w:val="18"/>
        <w:szCs w:val="18"/>
      </w:rPr>
      <w:t xml:space="preserve"> I</w:t>
    </w:r>
    <w:r>
      <w:rPr>
        <w:rFonts w:ascii="Calibri" w:hAnsi="Calibri"/>
        <w:noProof/>
        <w:color w:val="595959"/>
        <w:sz w:val="18"/>
        <w:szCs w:val="18"/>
      </w:rPr>
      <w:t>I trimestre 20</w:t>
    </w:r>
    <w:r w:rsidR="00D342BB">
      <w:rPr>
        <w:rFonts w:ascii="Calibri" w:hAnsi="Calibri"/>
        <w:noProof/>
        <w:color w:val="595959"/>
        <w:sz w:val="18"/>
        <w:szCs w:val="18"/>
      </w:rPr>
      <w:t>20</w:t>
    </w:r>
  </w:p>
  <w:p w:rsidR="0012107C" w:rsidRPr="00B64D16" w:rsidRDefault="0012107C" w:rsidP="00F159E0">
    <w:pPr>
      <w:pStyle w:val="Piedepgina"/>
      <w:rPr>
        <w:rFonts w:ascii="Calibri" w:hAnsi="Calibri"/>
        <w:color w:val="595959"/>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12107C">
    <w:pPr>
      <w:pStyle w:val="Piedepgina"/>
      <w:jc w:val="right"/>
    </w:pPr>
  </w:p>
  <w:p w:rsidR="0012107C" w:rsidRDefault="001210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07C" w:rsidRDefault="0012107C">
      <w:r>
        <w:separator/>
      </w:r>
    </w:p>
  </w:footnote>
  <w:footnote w:type="continuationSeparator" w:id="0">
    <w:p w:rsidR="0012107C" w:rsidRDefault="0012107C">
      <w:r>
        <w:continuationSeparator/>
      </w:r>
    </w:p>
  </w:footnote>
  <w:footnote w:id="1">
    <w:p w:rsidR="0012107C" w:rsidRDefault="0012107C" w:rsidP="00D74A98">
      <w:pPr>
        <w:pStyle w:val="Textonotapie"/>
      </w:pPr>
      <w:r w:rsidRPr="009E4AD8">
        <w:rPr>
          <w:rStyle w:val="Refdenotaalpie"/>
          <w:rFonts w:ascii="Calibri" w:hAnsi="Calibri" w:cs="Calibri"/>
        </w:rPr>
        <w:footnoteRef/>
      </w:r>
      <w:r w:rsidRPr="009E4AD8">
        <w:rPr>
          <w:rFonts w:ascii="Calibri" w:hAnsi="Calibri" w:cs="Calibri"/>
        </w:rPr>
        <w:t xml:space="preserve"> Para algunas Jurisdicciones la información presentada constituye una proyección que se actualiza a medida que </w:t>
      </w:r>
      <w:r>
        <w:rPr>
          <w:rFonts w:ascii="Calibri" w:hAnsi="Calibri" w:cs="Calibri"/>
        </w:rPr>
        <w:t xml:space="preserve">se </w:t>
      </w:r>
      <w:r w:rsidRPr="009E4AD8">
        <w:rPr>
          <w:rFonts w:ascii="Calibri" w:hAnsi="Calibri" w:cs="Calibri"/>
        </w:rPr>
        <w:t xml:space="preserve">divulgan sus datos. En atención a ello se destaca que el presente informe se efectúa con los datos de ejecución presupuestaria </w:t>
      </w:r>
      <w:r w:rsidRPr="00343ABC">
        <w:rPr>
          <w:rFonts w:ascii="Calibri" w:hAnsi="Calibri" w:cs="Calibri"/>
        </w:rPr>
        <w:t xml:space="preserve">publicados al mes de </w:t>
      </w:r>
      <w:r w:rsidR="009B4274">
        <w:rPr>
          <w:rFonts w:ascii="Calibri" w:hAnsi="Calibri" w:cs="Calibri"/>
        </w:rPr>
        <w:t>diciembre</w:t>
      </w:r>
      <w:r w:rsidRPr="00343ABC">
        <w:rPr>
          <w:rFonts w:ascii="Calibri" w:hAnsi="Calibri" w:cs="Calibri"/>
        </w:rPr>
        <w:t xml:space="preserve"> de 20</w:t>
      </w:r>
      <w:r w:rsidR="00D342BB">
        <w:rPr>
          <w:rFonts w:ascii="Calibri" w:hAnsi="Calibri" w:cs="Calibri"/>
        </w:rPr>
        <w:t>2</w:t>
      </w:r>
      <w:r w:rsidR="009B4274">
        <w:rPr>
          <w:rFonts w:ascii="Calibri" w:hAnsi="Calibri" w:cs="Calibri"/>
        </w:rPr>
        <w:t>0</w:t>
      </w:r>
      <w:r w:rsidRPr="009E4AD8">
        <w:rPr>
          <w:rFonts w:ascii="Calibri" w:hAnsi="Calibri" w:cs="Calibri"/>
        </w:rPr>
        <w:t>.</w:t>
      </w:r>
      <w:bookmarkStart w:id="6" w:name="_GoBack"/>
      <w:bookmarkEnd w:id="6"/>
    </w:p>
  </w:footnote>
  <w:footnote w:id="2">
    <w:p w:rsidR="00A810D9" w:rsidRDefault="00A810D9" w:rsidP="00A810D9">
      <w:pPr>
        <w:pStyle w:val="Textonotapie"/>
        <w:jc w:val="both"/>
      </w:pPr>
      <w:r>
        <w:rPr>
          <w:rStyle w:val="Refdenotaalpie"/>
        </w:rPr>
        <w:footnoteRef/>
      </w:r>
      <w:r>
        <w:t xml:space="preserve"> </w:t>
      </w:r>
      <w:r w:rsidRPr="00AA3597">
        <w:rPr>
          <w:rFonts w:ascii="Calibri" w:hAnsi="Calibri"/>
        </w:rPr>
        <w:t>Incluye Ingresos Tributarios Provinciales, No Tributarios, Contribuciones a la Seguridad Social, Rentas de la Propiedad, Venta de Bienes y Servicios, Recursos Propios de Capital y Disminución de Inversión Financiera.</w:t>
      </w:r>
    </w:p>
  </w:footnote>
  <w:footnote w:id="3">
    <w:p w:rsidR="00AF17DD" w:rsidRDefault="00AF17DD" w:rsidP="00AF17DD">
      <w:pPr>
        <w:pStyle w:val="Textonotapie"/>
        <w:jc w:val="both"/>
      </w:pPr>
      <w:r w:rsidRPr="00EC2C2A">
        <w:rPr>
          <w:rStyle w:val="Refdenotaalpie"/>
          <w:rFonts w:ascii="Trebuchet MS" w:hAnsi="Trebuchet MS"/>
        </w:rPr>
        <w:footnoteRef/>
      </w:r>
      <w:r w:rsidRPr="00EC2C2A">
        <w:rPr>
          <w:rFonts w:ascii="Trebuchet MS" w:hAnsi="Trebuchet MS"/>
        </w:rPr>
        <w:t xml:space="preserve"> </w:t>
      </w:r>
      <w:r w:rsidRPr="007A5580">
        <w:rPr>
          <w:rFonts w:ascii="Calibri" w:hAnsi="Calibri" w:cs="Calibr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Calibri" w:hAnsi="Calibri" w:cs="Calibri"/>
          <w:lang w:val="es-AR"/>
        </w:rPr>
        <w:t>z, Santa Fe y Tierra del Fuego.</w:t>
      </w:r>
    </w:p>
  </w:footnote>
  <w:footnote w:id="4">
    <w:p w:rsidR="0012107C" w:rsidRDefault="0012107C" w:rsidP="003A3C64">
      <w:pPr>
        <w:pStyle w:val="Textonotapie"/>
      </w:pPr>
      <w:r>
        <w:rPr>
          <w:rStyle w:val="Refdenotaalpie"/>
        </w:rPr>
        <w:footnoteRef/>
      </w:r>
      <w:r>
        <w:t xml:space="preserve"> A </w:t>
      </w:r>
      <w:r>
        <w:rPr>
          <w:rFonts w:ascii="Calibri" w:hAnsi="Calibri"/>
        </w:rPr>
        <w:t>partir 2019 se implementa el Consenso Fiscal 2018 (Ley N° 27.469).</w:t>
      </w:r>
    </w:p>
  </w:footnote>
  <w:footnote w:id="5">
    <w:p w:rsidR="0012107C" w:rsidRDefault="0012107C" w:rsidP="00B87768">
      <w:pPr>
        <w:pStyle w:val="Textonotapie"/>
      </w:pPr>
      <w:r w:rsidRPr="00F730F4">
        <w:rPr>
          <w:rStyle w:val="Refdenotaalpie"/>
          <w:rFonts w:ascii="Trebuchet MS" w:hAnsi="Trebuchet MS"/>
        </w:rPr>
        <w:footnoteRef/>
      </w:r>
      <w:r w:rsidRPr="00F730F4">
        <w:rPr>
          <w:rFonts w:ascii="Trebuchet MS" w:hAnsi="Trebuchet MS"/>
        </w:rPr>
        <w:t xml:space="preserve"> </w:t>
      </w:r>
      <w:r w:rsidRPr="007A5580">
        <w:rPr>
          <w:rFonts w:ascii="Calibri" w:hAnsi="Calibri" w:cs="Calibri"/>
        </w:rPr>
        <w:t>Cabe señalar que</w:t>
      </w:r>
      <w:r>
        <w:rPr>
          <w:rFonts w:ascii="Calibri" w:hAnsi="Calibri" w:cs="Calibri"/>
        </w:rPr>
        <w:t xml:space="preserve"> </w:t>
      </w:r>
      <w:r w:rsidRPr="007A5580">
        <w:rPr>
          <w:rFonts w:ascii="Calibri" w:hAnsi="Calibri" w:cs="Calibri"/>
        </w:rPr>
        <w:t>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7C" w:rsidRDefault="00EC6415" w:rsidP="00EC0703">
    <w:pPr>
      <w:pStyle w:val="Encabezado"/>
      <w:ind w:left="-851"/>
    </w:pPr>
    <w:r>
      <w:rPr>
        <w:noProof/>
        <w:lang w:val="es-AR" w:eastAsia="es-AR"/>
      </w:rPr>
      <w:fldChar w:fldCharType="begin"/>
    </w:r>
    <w:r>
      <w:rPr>
        <w:noProof/>
        <w:lang w:val="es-AR" w:eastAsia="es-AR"/>
      </w:rPr>
      <w:instrText xml:space="preserve"> INCLUDEPICTURE  "d:\\users\\mbasil\\appdata\\roaming\\microsoft\\plantillas\\ESCUDO.WMF" \* MERGEFORMATINET </w:instrText>
    </w:r>
    <w:r>
      <w:rPr>
        <w:noProof/>
        <w:lang w:val="es-AR" w:eastAsia="es-AR"/>
      </w:rPr>
      <w:fldChar w:fldCharType="separate"/>
    </w:r>
    <w:r w:rsidR="00AF17DD">
      <w:rPr>
        <w:noProof/>
        <w:lang w:val="es-AR" w:eastAsia="es-AR"/>
      </w:rPr>
      <w:fldChar w:fldCharType="begin"/>
    </w:r>
    <w:r w:rsidR="00AF17DD">
      <w:rPr>
        <w:noProof/>
        <w:lang w:val="es-AR" w:eastAsia="es-AR"/>
      </w:rPr>
      <w:instrText xml:space="preserve"> INCLUDEPICTURE  "d:\\users\\mbasil\\appdata\\roaming\\microsoft\\plantillas\\ESCUDO.WMF" \* MERGEFORMATINET </w:instrText>
    </w:r>
    <w:r w:rsidR="00AF17DD">
      <w:rPr>
        <w:noProof/>
        <w:lang w:val="es-AR" w:eastAsia="es-AR"/>
      </w:rPr>
      <w:fldChar w:fldCharType="separate"/>
    </w:r>
    <w:r w:rsidR="0092763B">
      <w:rPr>
        <w:noProof/>
        <w:lang w:val="es-AR" w:eastAsia="es-AR"/>
      </w:rPr>
      <w:fldChar w:fldCharType="begin"/>
    </w:r>
    <w:r w:rsidR="0092763B">
      <w:rPr>
        <w:noProof/>
        <w:lang w:val="es-AR" w:eastAsia="es-AR"/>
      </w:rPr>
      <w:instrText xml:space="preserve"> INCLUDEPICTURE  "d:\\users\\mbasil\\appdata\\roaming\\microsoft\\plantillas\\ESCUDO.WMF" \* MERGEFORMATINET </w:instrText>
    </w:r>
    <w:r w:rsidR="0092763B">
      <w:rPr>
        <w:noProof/>
        <w:lang w:val="es-AR" w:eastAsia="es-AR"/>
      </w:rPr>
      <w:fldChar w:fldCharType="separate"/>
    </w:r>
    <w:r w:rsidR="00D24569">
      <w:rPr>
        <w:noProof/>
        <w:lang w:val="es-AR" w:eastAsia="es-AR"/>
      </w:rPr>
      <w:fldChar w:fldCharType="begin"/>
    </w:r>
    <w:r w:rsidR="00D24569">
      <w:rPr>
        <w:noProof/>
        <w:lang w:val="es-AR" w:eastAsia="es-AR"/>
      </w:rPr>
      <w:instrText xml:space="preserve"> INCLUDEPICTURE  "d:\\users\\mbasil\\appdata\\roaming\\microsoft\\plantillas\\ESCUDO.WMF" \* MERGEFORMATINET </w:instrText>
    </w:r>
    <w:r w:rsidR="00D24569">
      <w:rPr>
        <w:noProof/>
        <w:lang w:val="es-AR" w:eastAsia="es-AR"/>
      </w:rPr>
      <w:fldChar w:fldCharType="separate"/>
    </w:r>
    <w:r w:rsidR="00C8371B">
      <w:rPr>
        <w:noProof/>
        <w:lang w:val="es-AR" w:eastAsia="es-AR"/>
      </w:rPr>
      <w:fldChar w:fldCharType="begin"/>
    </w:r>
    <w:r w:rsidR="00C8371B">
      <w:rPr>
        <w:noProof/>
        <w:lang w:val="es-AR" w:eastAsia="es-AR"/>
      </w:rPr>
      <w:instrText xml:space="preserve"> INCLUDEPICTURE  "d:\\users\\mbasil\\appdata\\roaming\\microsoft\\plantillas\\ESCUDO.WMF" \* MERGEFORMATINET </w:instrText>
    </w:r>
    <w:r w:rsidR="00C8371B">
      <w:rPr>
        <w:noProof/>
        <w:lang w:val="es-AR" w:eastAsia="es-AR"/>
      </w:rPr>
      <w:fldChar w:fldCharType="separate"/>
    </w:r>
    <w:r w:rsidR="00432FE7">
      <w:rPr>
        <w:noProof/>
        <w:lang w:val="es-AR" w:eastAsia="es-AR"/>
      </w:rPr>
      <w:fldChar w:fldCharType="begin"/>
    </w:r>
    <w:r w:rsidR="00432FE7">
      <w:rPr>
        <w:noProof/>
        <w:lang w:val="es-AR" w:eastAsia="es-AR"/>
      </w:rPr>
      <w:instrText xml:space="preserve"> INCLUDEPICTURE  "d:\\users\\mbasil\\appdata\\roaming\\microsoft\\plantillas\\ESCUDO.WMF" \* MERGEFORMATINET </w:instrText>
    </w:r>
    <w:r w:rsidR="00432FE7">
      <w:rPr>
        <w:noProof/>
        <w:lang w:val="es-AR" w:eastAsia="es-AR"/>
      </w:rPr>
      <w:fldChar w:fldCharType="separate"/>
    </w:r>
    <w:r w:rsidR="001201BA">
      <w:rPr>
        <w:noProof/>
        <w:lang w:val="es-AR" w:eastAsia="es-AR"/>
      </w:rPr>
      <w:fldChar w:fldCharType="begin"/>
    </w:r>
    <w:r w:rsidR="001201BA">
      <w:rPr>
        <w:noProof/>
        <w:lang w:val="es-AR" w:eastAsia="es-AR"/>
      </w:rPr>
      <w:instrText xml:space="preserve"> INCLUDEPICTURE  "d:\\users\\mbasil\\appdata\\roaming\\microsoft\\plantillas\\ESCUDO.WMF" \* MERGEFORMATINET </w:instrText>
    </w:r>
    <w:r w:rsidR="001201BA">
      <w:rPr>
        <w:noProof/>
        <w:lang w:val="es-AR" w:eastAsia="es-AR"/>
      </w:rPr>
      <w:fldChar w:fldCharType="separate"/>
    </w:r>
    <w:r w:rsidR="00BF63B6">
      <w:rPr>
        <w:noProof/>
        <w:lang w:val="es-AR" w:eastAsia="es-AR"/>
      </w:rPr>
      <w:fldChar w:fldCharType="begin"/>
    </w:r>
    <w:r w:rsidR="00BF63B6">
      <w:rPr>
        <w:noProof/>
        <w:lang w:val="es-AR" w:eastAsia="es-AR"/>
      </w:rPr>
      <w:instrText xml:space="preserve"> INCLUDEPICTURE  "d:\\users\\mbasil\\appdata\\roaming\\microsoft\\plantillas\\ESCUDO.WMF" \* MERGEFORMATINET </w:instrText>
    </w:r>
    <w:r w:rsidR="00BF63B6">
      <w:rPr>
        <w:noProof/>
        <w:lang w:val="es-AR" w:eastAsia="es-AR"/>
      </w:rPr>
      <w:fldChar w:fldCharType="separate"/>
    </w:r>
    <w:r w:rsidR="005D6073">
      <w:rPr>
        <w:noProof/>
        <w:lang w:val="es-AR" w:eastAsia="es-AR"/>
      </w:rPr>
      <w:fldChar w:fldCharType="begin"/>
    </w:r>
    <w:r w:rsidR="005D6073">
      <w:rPr>
        <w:noProof/>
        <w:lang w:val="es-AR" w:eastAsia="es-AR"/>
      </w:rPr>
      <w:instrText xml:space="preserve"> INCLUDEPICTURE  "d:\\users\\mbasil\\appdata\\roaming\\microsoft\\plantillas\\ESCUDO.WMF" \* MERGEFORMATINET </w:instrText>
    </w:r>
    <w:r w:rsidR="005D6073">
      <w:rPr>
        <w:noProof/>
        <w:lang w:val="es-AR" w:eastAsia="es-AR"/>
      </w:rPr>
      <w:fldChar w:fldCharType="separate"/>
    </w:r>
    <w:r w:rsidR="00D8268F">
      <w:rPr>
        <w:noProof/>
        <w:lang w:val="es-AR" w:eastAsia="es-AR"/>
      </w:rPr>
      <w:fldChar w:fldCharType="begin"/>
    </w:r>
    <w:r w:rsidR="00D8268F">
      <w:rPr>
        <w:noProof/>
        <w:lang w:val="es-AR" w:eastAsia="es-AR"/>
      </w:rPr>
      <w:instrText xml:space="preserve"> INCLUDEPICTURE  "d:\\users\\mbasil\\appdata\\roaming\\microsoft\\plantillas\\ESCUDO.WMF" \* MERGEFORMATINET </w:instrText>
    </w:r>
    <w:r w:rsidR="00D8268F">
      <w:rPr>
        <w:noProof/>
        <w:lang w:val="es-AR" w:eastAsia="es-AR"/>
      </w:rPr>
      <w:fldChar w:fldCharType="separate"/>
    </w:r>
    <w:r w:rsidR="00726D64">
      <w:rPr>
        <w:noProof/>
        <w:lang w:val="es-AR" w:eastAsia="es-AR"/>
      </w:rPr>
      <w:fldChar w:fldCharType="begin"/>
    </w:r>
    <w:r w:rsidR="00726D64">
      <w:rPr>
        <w:noProof/>
        <w:lang w:val="es-AR" w:eastAsia="es-AR"/>
      </w:rPr>
      <w:instrText xml:space="preserve"> INCLUDEPICTURE  "d:\\users\\mbasil\\appdata\\roaming\\microsoft\\plantillas\\ESCUDO.WMF" \* MERGEFORMATINET </w:instrText>
    </w:r>
    <w:r w:rsidR="00726D64">
      <w:rPr>
        <w:noProof/>
        <w:lang w:val="es-AR" w:eastAsia="es-AR"/>
      </w:rPr>
      <w:fldChar w:fldCharType="separate"/>
    </w:r>
    <w:r w:rsidR="00A810D9">
      <w:rPr>
        <w:noProof/>
        <w:lang w:val="es-AR" w:eastAsia="es-AR"/>
      </w:rPr>
      <w:fldChar w:fldCharType="begin"/>
    </w:r>
    <w:r w:rsidR="00A810D9">
      <w:rPr>
        <w:noProof/>
        <w:lang w:val="es-AR" w:eastAsia="es-AR"/>
      </w:rPr>
      <w:instrText xml:space="preserve"> INCLUDEPICTURE  "d:\\users\\mbasil\\appdata\\roaming\\microsoft\\plantillas\\ESCUDO.WMF" \* MERGEFORMATINET </w:instrText>
    </w:r>
    <w:r w:rsidR="00A810D9">
      <w:rPr>
        <w:noProof/>
        <w:lang w:val="es-AR" w:eastAsia="es-AR"/>
      </w:rPr>
      <w:fldChar w:fldCharType="separate"/>
    </w:r>
    <w:r w:rsidR="00F562A9">
      <w:rPr>
        <w:noProof/>
        <w:lang w:val="es-AR" w:eastAsia="es-AR"/>
      </w:rPr>
      <w:fldChar w:fldCharType="begin"/>
    </w:r>
    <w:r w:rsidR="00F562A9">
      <w:rPr>
        <w:noProof/>
        <w:lang w:val="es-AR" w:eastAsia="es-AR"/>
      </w:rPr>
      <w:instrText xml:space="preserve"> INCLUDEPICTURE  "d:\\users\\mbasil\\appdata\\roaming\\microsoft\\plantillas\\ESCUDO.WMF" \* MERGEFORMATINET </w:instrText>
    </w:r>
    <w:r w:rsidR="00F562A9">
      <w:rPr>
        <w:noProof/>
        <w:lang w:val="es-AR" w:eastAsia="es-AR"/>
      </w:rPr>
      <w:fldChar w:fldCharType="separate"/>
    </w:r>
    <w:r w:rsidR="00AA4E75">
      <w:rPr>
        <w:noProof/>
        <w:lang w:val="es-AR" w:eastAsia="es-AR"/>
      </w:rPr>
      <w:fldChar w:fldCharType="begin"/>
    </w:r>
    <w:r w:rsidR="00AA4E75">
      <w:rPr>
        <w:noProof/>
        <w:lang w:val="es-AR" w:eastAsia="es-AR"/>
      </w:rPr>
      <w:instrText xml:space="preserve"> INCLUDEPICTURE  "d:\\users\\mbasil\\appdata\\roaming\\microsoft\\plantillas\\ESCUDO.WMF" \* MERGEFORMATINET </w:instrText>
    </w:r>
    <w:r w:rsidR="00AA4E75">
      <w:rPr>
        <w:noProof/>
        <w:lang w:val="es-AR" w:eastAsia="es-AR"/>
      </w:rPr>
      <w:fldChar w:fldCharType="separate"/>
    </w:r>
    <w:r w:rsidR="00BB538A">
      <w:rPr>
        <w:noProof/>
        <w:lang w:val="es-AR" w:eastAsia="es-AR"/>
      </w:rPr>
      <w:fldChar w:fldCharType="begin"/>
    </w:r>
    <w:r w:rsidR="00BB538A">
      <w:rPr>
        <w:noProof/>
        <w:lang w:val="es-AR" w:eastAsia="es-AR"/>
      </w:rPr>
      <w:instrText xml:space="preserve"> INCLUDEPICTURE  "d:\\users\\mbasil\\appdata\\roaming\\microsoft\\plantillas\\ESCUDO.WMF" \* MERGEFORMATINET </w:instrText>
    </w:r>
    <w:r w:rsidR="00BB538A">
      <w:rPr>
        <w:noProof/>
        <w:lang w:val="es-AR" w:eastAsia="es-AR"/>
      </w:rPr>
      <w:fldChar w:fldCharType="separate"/>
    </w:r>
    <w:r w:rsidR="001B649E">
      <w:rPr>
        <w:noProof/>
        <w:lang w:val="es-AR" w:eastAsia="es-AR"/>
      </w:rPr>
      <w:fldChar w:fldCharType="begin"/>
    </w:r>
    <w:r w:rsidR="001B649E">
      <w:rPr>
        <w:noProof/>
        <w:lang w:val="es-AR" w:eastAsia="es-AR"/>
      </w:rPr>
      <w:instrText xml:space="preserve"> INCLUDEPICTURE  "d:\\users\\mbasil\\appdata\\roaming\\microsoft\\plantillas\\ESCUDO.WMF" \* MERGEFORMATINET </w:instrText>
    </w:r>
    <w:r w:rsidR="001B649E">
      <w:rPr>
        <w:noProof/>
        <w:lang w:val="es-AR" w:eastAsia="es-AR"/>
      </w:rPr>
      <w:fldChar w:fldCharType="separate"/>
    </w:r>
    <w:r w:rsidR="00A218BF">
      <w:rPr>
        <w:noProof/>
        <w:lang w:val="es-AR" w:eastAsia="es-AR"/>
      </w:rPr>
      <w:fldChar w:fldCharType="begin"/>
    </w:r>
    <w:r w:rsidR="00A218BF">
      <w:rPr>
        <w:noProof/>
        <w:lang w:val="es-AR" w:eastAsia="es-AR"/>
      </w:rPr>
      <w:instrText xml:space="preserve"> INCLUDEPICTURE  "d:\\users\\mbasil\\appdata\\roaming\\microsoft\\plantillas\\ESCUDO.WMF" \* MERGEFORMATINET </w:instrText>
    </w:r>
    <w:r w:rsidR="00A218BF">
      <w:rPr>
        <w:noProof/>
        <w:lang w:val="es-AR" w:eastAsia="es-AR"/>
      </w:rPr>
      <w:fldChar w:fldCharType="separate"/>
    </w:r>
    <w:r w:rsidR="00A547EC">
      <w:rPr>
        <w:noProof/>
        <w:lang w:val="es-AR" w:eastAsia="es-AR"/>
      </w:rPr>
      <w:fldChar w:fldCharType="begin"/>
    </w:r>
    <w:r w:rsidR="00A547EC">
      <w:rPr>
        <w:noProof/>
        <w:lang w:val="es-AR" w:eastAsia="es-AR"/>
      </w:rPr>
      <w:instrText xml:space="preserve"> INCLUDEPICTURE  "d:\\users\\mbasil\\appdata\\roaming\\microsoft\\plantillas\\ESCUDO.WMF" \* MERGEFORMATINET </w:instrText>
    </w:r>
    <w:r w:rsidR="00A547EC">
      <w:rPr>
        <w:noProof/>
        <w:lang w:val="es-AR" w:eastAsia="es-AR"/>
      </w:rPr>
      <w:fldChar w:fldCharType="separate"/>
    </w:r>
    <w:r w:rsidR="00600287">
      <w:rPr>
        <w:noProof/>
        <w:lang w:val="es-AR" w:eastAsia="es-AR"/>
      </w:rPr>
      <w:fldChar w:fldCharType="begin"/>
    </w:r>
    <w:r w:rsidR="00600287">
      <w:rPr>
        <w:noProof/>
        <w:lang w:val="es-AR" w:eastAsia="es-AR"/>
      </w:rPr>
      <w:instrText xml:space="preserve"> INCLUDEPICTURE  "d:\\users\\mbasil\\appdata\\roaming\\microsoft\\plantillas\\ESCUDO.WMF" \* MERGEFORMATINET </w:instrText>
    </w:r>
    <w:r w:rsidR="00600287">
      <w:rPr>
        <w:noProof/>
        <w:lang w:val="es-AR" w:eastAsia="es-AR"/>
      </w:rPr>
      <w:fldChar w:fldCharType="separate"/>
    </w:r>
    <w:r w:rsidR="0095583C">
      <w:rPr>
        <w:noProof/>
        <w:lang w:val="es-AR" w:eastAsia="es-AR"/>
      </w:rPr>
      <w:fldChar w:fldCharType="begin"/>
    </w:r>
    <w:r w:rsidR="0095583C">
      <w:rPr>
        <w:noProof/>
        <w:lang w:val="es-AR" w:eastAsia="es-AR"/>
      </w:rPr>
      <w:instrText xml:space="preserve"> INCLUDEPICTURE  "d:\\users\\mbasil\\appdata\\roaming\\microsoft\\plantillas\\ESCUDO.WMF" \* MERGEFORMATINET </w:instrText>
    </w:r>
    <w:r w:rsidR="0095583C">
      <w:rPr>
        <w:noProof/>
        <w:lang w:val="es-AR" w:eastAsia="es-AR"/>
      </w:rPr>
      <w:fldChar w:fldCharType="separate"/>
    </w:r>
    <w:r w:rsidR="00953115">
      <w:rPr>
        <w:noProof/>
        <w:lang w:val="es-AR" w:eastAsia="es-AR"/>
      </w:rPr>
      <w:fldChar w:fldCharType="begin"/>
    </w:r>
    <w:r w:rsidR="00953115">
      <w:rPr>
        <w:noProof/>
        <w:lang w:val="es-AR" w:eastAsia="es-AR"/>
      </w:rPr>
      <w:instrText xml:space="preserve"> INCLUDEPICTURE  "d:\\users\\mbasil\\appdata\\roaming\\microsoft\\plantillas\\ESCUDO.WMF" \* MERGEFORMATINET </w:instrText>
    </w:r>
    <w:r w:rsidR="00953115">
      <w:rPr>
        <w:noProof/>
        <w:lang w:val="es-AR" w:eastAsia="es-AR"/>
      </w:rPr>
      <w:fldChar w:fldCharType="separate"/>
    </w:r>
    <w:r w:rsidR="005C5ADC">
      <w:rPr>
        <w:noProof/>
        <w:lang w:val="es-AR" w:eastAsia="es-AR"/>
      </w:rPr>
      <w:fldChar w:fldCharType="begin"/>
    </w:r>
    <w:r w:rsidR="005C5ADC">
      <w:rPr>
        <w:noProof/>
        <w:lang w:val="es-AR" w:eastAsia="es-AR"/>
      </w:rPr>
      <w:instrText xml:space="preserve"> INCLUDEPICTURE  "d:\\users\\mbasil\\appdata\\roaming\\microsoft\\plantillas\\ESCUDO.WMF" \* MERGEFORMATINET </w:instrText>
    </w:r>
    <w:r w:rsidR="005C5ADC">
      <w:rPr>
        <w:noProof/>
        <w:lang w:val="es-AR" w:eastAsia="es-AR"/>
      </w:rPr>
      <w:fldChar w:fldCharType="separate"/>
    </w:r>
    <w:r w:rsidR="009B4274">
      <w:rPr>
        <w:noProof/>
        <w:lang w:val="es-AR" w:eastAsia="es-AR"/>
      </w:rPr>
      <w:fldChar w:fldCharType="begin"/>
    </w:r>
    <w:r w:rsidR="009B4274">
      <w:rPr>
        <w:noProof/>
        <w:lang w:val="es-AR" w:eastAsia="es-AR"/>
      </w:rPr>
      <w:instrText xml:space="preserve"> </w:instrText>
    </w:r>
    <w:r w:rsidR="009B4274">
      <w:rPr>
        <w:noProof/>
        <w:lang w:val="es-AR" w:eastAsia="es-AR"/>
      </w:rPr>
      <w:instrText>INCLUDEPICTURE  "d:\\users\\mbasil\\appdata\\roaming\\microsoft\\plantillas\\ESCUDO.WMF" \* MERGEFORMATINET</w:instrText>
    </w:r>
    <w:r w:rsidR="009B4274">
      <w:rPr>
        <w:noProof/>
        <w:lang w:val="es-AR" w:eastAsia="es-AR"/>
      </w:rPr>
      <w:instrText xml:space="preserve"> </w:instrText>
    </w:r>
    <w:r w:rsidR="009B4274">
      <w:rPr>
        <w:noProof/>
        <w:lang w:val="es-AR" w:eastAsia="es-AR"/>
      </w:rPr>
      <w:fldChar w:fldCharType="separate"/>
    </w:r>
    <w:r w:rsidR="009B4274">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10pt;height:99pt;visibility:visible">
          <v:imagedata r:id="rId1" r:href="rId2"/>
        </v:shape>
      </w:pict>
    </w:r>
    <w:r w:rsidR="009B4274">
      <w:rPr>
        <w:noProof/>
        <w:lang w:val="es-AR" w:eastAsia="es-AR"/>
      </w:rPr>
      <w:fldChar w:fldCharType="end"/>
    </w:r>
    <w:r w:rsidR="005C5ADC">
      <w:rPr>
        <w:noProof/>
        <w:lang w:val="es-AR" w:eastAsia="es-AR"/>
      </w:rPr>
      <w:fldChar w:fldCharType="end"/>
    </w:r>
    <w:r w:rsidR="00953115">
      <w:rPr>
        <w:noProof/>
        <w:lang w:val="es-AR" w:eastAsia="es-AR"/>
      </w:rPr>
      <w:fldChar w:fldCharType="end"/>
    </w:r>
    <w:r w:rsidR="0095583C">
      <w:rPr>
        <w:noProof/>
        <w:lang w:val="es-AR" w:eastAsia="es-AR"/>
      </w:rPr>
      <w:fldChar w:fldCharType="end"/>
    </w:r>
    <w:r w:rsidR="00600287">
      <w:rPr>
        <w:noProof/>
        <w:lang w:val="es-AR" w:eastAsia="es-AR"/>
      </w:rPr>
      <w:fldChar w:fldCharType="end"/>
    </w:r>
    <w:r w:rsidR="00A547EC">
      <w:rPr>
        <w:noProof/>
        <w:lang w:val="es-AR" w:eastAsia="es-AR"/>
      </w:rPr>
      <w:fldChar w:fldCharType="end"/>
    </w:r>
    <w:r w:rsidR="00A218BF">
      <w:rPr>
        <w:noProof/>
        <w:lang w:val="es-AR" w:eastAsia="es-AR"/>
      </w:rPr>
      <w:fldChar w:fldCharType="end"/>
    </w:r>
    <w:r w:rsidR="001B649E">
      <w:rPr>
        <w:noProof/>
        <w:lang w:val="es-AR" w:eastAsia="es-AR"/>
      </w:rPr>
      <w:fldChar w:fldCharType="end"/>
    </w:r>
    <w:r w:rsidR="00BB538A">
      <w:rPr>
        <w:noProof/>
        <w:lang w:val="es-AR" w:eastAsia="es-AR"/>
      </w:rPr>
      <w:fldChar w:fldCharType="end"/>
    </w:r>
    <w:r w:rsidR="00AA4E75">
      <w:rPr>
        <w:noProof/>
        <w:lang w:val="es-AR" w:eastAsia="es-AR"/>
      </w:rPr>
      <w:fldChar w:fldCharType="end"/>
    </w:r>
    <w:r w:rsidR="00F562A9">
      <w:rPr>
        <w:noProof/>
        <w:lang w:val="es-AR" w:eastAsia="es-AR"/>
      </w:rPr>
      <w:fldChar w:fldCharType="end"/>
    </w:r>
    <w:r w:rsidR="00A810D9">
      <w:rPr>
        <w:noProof/>
        <w:lang w:val="es-AR" w:eastAsia="es-AR"/>
      </w:rPr>
      <w:fldChar w:fldCharType="end"/>
    </w:r>
    <w:r w:rsidR="00726D64">
      <w:rPr>
        <w:noProof/>
        <w:lang w:val="es-AR" w:eastAsia="es-AR"/>
      </w:rPr>
      <w:fldChar w:fldCharType="end"/>
    </w:r>
    <w:r w:rsidR="00D8268F">
      <w:rPr>
        <w:noProof/>
        <w:lang w:val="es-AR" w:eastAsia="es-AR"/>
      </w:rPr>
      <w:fldChar w:fldCharType="end"/>
    </w:r>
    <w:r w:rsidR="005D6073">
      <w:rPr>
        <w:noProof/>
        <w:lang w:val="es-AR" w:eastAsia="es-AR"/>
      </w:rPr>
      <w:fldChar w:fldCharType="end"/>
    </w:r>
    <w:r w:rsidR="00BF63B6">
      <w:rPr>
        <w:noProof/>
        <w:lang w:val="es-AR" w:eastAsia="es-AR"/>
      </w:rPr>
      <w:fldChar w:fldCharType="end"/>
    </w:r>
    <w:r w:rsidR="001201BA">
      <w:rPr>
        <w:noProof/>
        <w:lang w:val="es-AR" w:eastAsia="es-AR"/>
      </w:rPr>
      <w:fldChar w:fldCharType="end"/>
    </w:r>
    <w:r w:rsidR="00432FE7">
      <w:rPr>
        <w:noProof/>
        <w:lang w:val="es-AR" w:eastAsia="es-AR"/>
      </w:rPr>
      <w:fldChar w:fldCharType="end"/>
    </w:r>
    <w:r w:rsidR="00C8371B">
      <w:rPr>
        <w:noProof/>
        <w:lang w:val="es-AR" w:eastAsia="es-AR"/>
      </w:rPr>
      <w:fldChar w:fldCharType="end"/>
    </w:r>
    <w:r w:rsidR="00D24569">
      <w:rPr>
        <w:noProof/>
        <w:lang w:val="es-AR" w:eastAsia="es-AR"/>
      </w:rPr>
      <w:fldChar w:fldCharType="end"/>
    </w:r>
    <w:r w:rsidR="0092763B">
      <w:rPr>
        <w:noProof/>
        <w:lang w:val="es-AR" w:eastAsia="es-AR"/>
      </w:rPr>
      <w:fldChar w:fldCharType="end"/>
    </w:r>
    <w:r w:rsidR="00AF17DD">
      <w:rPr>
        <w:noProof/>
        <w:lang w:val="es-AR" w:eastAsia="es-AR"/>
      </w:rPr>
      <w:fldChar w:fldCharType="end"/>
    </w:r>
    <w:r>
      <w:rPr>
        <w:noProof/>
        <w:lang w:val="es-AR" w:eastAsia="es-A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1869"/>
    <w:multiLevelType w:val="hybridMultilevel"/>
    <w:tmpl w:val="57FE3A9E"/>
    <w:lvl w:ilvl="0" w:tplc="34B6B2C6">
      <w:start w:val="1"/>
      <w:numFmt w:val="upperRoman"/>
      <w:lvlText w:val="%1."/>
      <w:lvlJc w:val="righ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15:restartNumberingAfterBreak="0">
    <w:nsid w:val="097F0DB2"/>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E347A9"/>
    <w:multiLevelType w:val="hybridMultilevel"/>
    <w:tmpl w:val="3E9AF40E"/>
    <w:lvl w:ilvl="0" w:tplc="51D4B48E">
      <w:start w:val="1"/>
      <w:numFmt w:val="upperRoman"/>
      <w:pStyle w:val="Ttulo1"/>
      <w:lvlText w:val="%1."/>
      <w:lvlJc w:val="left"/>
      <w:pPr>
        <w:ind w:left="1080" w:hanging="72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4" w15:restartNumberingAfterBreak="0">
    <w:nsid w:val="0F65550D"/>
    <w:multiLevelType w:val="hybridMultilevel"/>
    <w:tmpl w:val="93DCEAE4"/>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15:restartNumberingAfterBreak="0">
    <w:nsid w:val="115A6DA0"/>
    <w:multiLevelType w:val="hybridMultilevel"/>
    <w:tmpl w:val="F3664332"/>
    <w:lvl w:ilvl="0" w:tplc="51523502">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15:restartNumberingAfterBreak="0">
    <w:nsid w:val="128F3515"/>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46552F"/>
    <w:multiLevelType w:val="hybridMultilevel"/>
    <w:tmpl w:val="5C0820F6"/>
    <w:lvl w:ilvl="0" w:tplc="57C0D33C">
      <w:start w:val="2"/>
      <w:numFmt w:val="decimal"/>
      <w:lvlText w:val="%1"/>
      <w:lvlJc w:val="left"/>
      <w:pPr>
        <w:ind w:left="720" w:hanging="360"/>
      </w:pPr>
      <w:rPr>
        <w:rFonts w:cs="Times New Roman" w:hint="default"/>
        <w:sz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9"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05F1EB3"/>
    <w:multiLevelType w:val="hybridMultilevel"/>
    <w:tmpl w:val="4132A898"/>
    <w:lvl w:ilvl="0" w:tplc="87F440EE">
      <w:start w:val="1"/>
      <w:numFmt w:val="decimal"/>
      <w:lvlText w:val="%1."/>
      <w:lvlJc w:val="left"/>
      <w:pPr>
        <w:ind w:left="786" w:hanging="360"/>
      </w:pPr>
      <w:rPr>
        <w:rFonts w:cs="Times New Roman" w:hint="default"/>
      </w:rPr>
    </w:lvl>
    <w:lvl w:ilvl="1" w:tplc="2C0A0019" w:tentative="1">
      <w:start w:val="1"/>
      <w:numFmt w:val="lowerLetter"/>
      <w:lvlText w:val="%2."/>
      <w:lvlJc w:val="left"/>
      <w:pPr>
        <w:ind w:left="1506" w:hanging="360"/>
      </w:pPr>
      <w:rPr>
        <w:rFonts w:cs="Times New Roman"/>
      </w:rPr>
    </w:lvl>
    <w:lvl w:ilvl="2" w:tplc="2C0A001B" w:tentative="1">
      <w:start w:val="1"/>
      <w:numFmt w:val="lowerRoman"/>
      <w:lvlText w:val="%3."/>
      <w:lvlJc w:val="right"/>
      <w:pPr>
        <w:ind w:left="2226" w:hanging="180"/>
      </w:pPr>
      <w:rPr>
        <w:rFonts w:cs="Times New Roman"/>
      </w:rPr>
    </w:lvl>
    <w:lvl w:ilvl="3" w:tplc="2C0A000F" w:tentative="1">
      <w:start w:val="1"/>
      <w:numFmt w:val="decimal"/>
      <w:lvlText w:val="%4."/>
      <w:lvlJc w:val="left"/>
      <w:pPr>
        <w:ind w:left="2946" w:hanging="360"/>
      </w:pPr>
      <w:rPr>
        <w:rFonts w:cs="Times New Roman"/>
      </w:rPr>
    </w:lvl>
    <w:lvl w:ilvl="4" w:tplc="2C0A0019" w:tentative="1">
      <w:start w:val="1"/>
      <w:numFmt w:val="lowerLetter"/>
      <w:lvlText w:val="%5."/>
      <w:lvlJc w:val="left"/>
      <w:pPr>
        <w:ind w:left="3666" w:hanging="360"/>
      </w:pPr>
      <w:rPr>
        <w:rFonts w:cs="Times New Roman"/>
      </w:rPr>
    </w:lvl>
    <w:lvl w:ilvl="5" w:tplc="2C0A001B" w:tentative="1">
      <w:start w:val="1"/>
      <w:numFmt w:val="lowerRoman"/>
      <w:lvlText w:val="%6."/>
      <w:lvlJc w:val="right"/>
      <w:pPr>
        <w:ind w:left="4386" w:hanging="180"/>
      </w:pPr>
      <w:rPr>
        <w:rFonts w:cs="Times New Roman"/>
      </w:rPr>
    </w:lvl>
    <w:lvl w:ilvl="6" w:tplc="2C0A000F" w:tentative="1">
      <w:start w:val="1"/>
      <w:numFmt w:val="decimal"/>
      <w:lvlText w:val="%7."/>
      <w:lvlJc w:val="left"/>
      <w:pPr>
        <w:ind w:left="5106" w:hanging="360"/>
      </w:pPr>
      <w:rPr>
        <w:rFonts w:cs="Times New Roman"/>
      </w:rPr>
    </w:lvl>
    <w:lvl w:ilvl="7" w:tplc="2C0A0019" w:tentative="1">
      <w:start w:val="1"/>
      <w:numFmt w:val="lowerLetter"/>
      <w:lvlText w:val="%8."/>
      <w:lvlJc w:val="left"/>
      <w:pPr>
        <w:ind w:left="5826" w:hanging="360"/>
      </w:pPr>
      <w:rPr>
        <w:rFonts w:cs="Times New Roman"/>
      </w:rPr>
    </w:lvl>
    <w:lvl w:ilvl="8" w:tplc="2C0A001B" w:tentative="1">
      <w:start w:val="1"/>
      <w:numFmt w:val="lowerRoman"/>
      <w:lvlText w:val="%9."/>
      <w:lvlJc w:val="right"/>
      <w:pPr>
        <w:ind w:left="6546" w:hanging="180"/>
      </w:pPr>
      <w:rPr>
        <w:rFonts w:cs="Times New Roman"/>
      </w:rPr>
    </w:lvl>
  </w:abstractNum>
  <w:abstractNum w:abstractNumId="11"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C35D7C"/>
    <w:multiLevelType w:val="hybridMultilevel"/>
    <w:tmpl w:val="89809932"/>
    <w:lvl w:ilvl="0" w:tplc="4FACE1AE">
      <w:start w:val="4"/>
      <w:numFmt w:val="decimal"/>
      <w:lvlText w:val="%1."/>
      <w:lvlJc w:val="left"/>
      <w:pPr>
        <w:ind w:left="720" w:hanging="360"/>
      </w:pPr>
      <w:rPr>
        <w:rFonts w:cs="Times New Roman" w:hint="default"/>
        <w:b/>
        <w:sz w:val="32"/>
        <w:u w:val="single"/>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15:restartNumberingAfterBreak="0">
    <w:nsid w:val="277A2EE8"/>
    <w:multiLevelType w:val="hybridMultilevel"/>
    <w:tmpl w:val="EF80C268"/>
    <w:lvl w:ilvl="0" w:tplc="2C0A000F">
      <w:start w:val="2"/>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4" w15:restartNumberingAfterBreak="0">
    <w:nsid w:val="2B7B4F8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15" w15:restartNumberingAfterBreak="0">
    <w:nsid w:val="30573EAB"/>
    <w:multiLevelType w:val="multilevel"/>
    <w:tmpl w:val="09101C5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38FB2498"/>
    <w:multiLevelType w:val="hybridMultilevel"/>
    <w:tmpl w:val="FBA446C0"/>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7"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A40DC"/>
    <w:multiLevelType w:val="multilevel"/>
    <w:tmpl w:val="E03019DC"/>
    <w:lvl w:ilvl="0">
      <w:start w:val="4"/>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9" w15:restartNumberingAfterBreak="0">
    <w:nsid w:val="45173A00"/>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20" w15:restartNumberingAfterBreak="0">
    <w:nsid w:val="4B5B16BA"/>
    <w:multiLevelType w:val="multilevel"/>
    <w:tmpl w:val="32543F38"/>
    <w:lvl w:ilvl="0">
      <w:start w:val="2"/>
      <w:numFmt w:val="decimal"/>
      <w:lvlText w:val="%1."/>
      <w:lvlJc w:val="left"/>
      <w:pPr>
        <w:ind w:left="510" w:hanging="51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cs="Times New Roman" w:hint="default"/>
        <w:sz w:val="28"/>
        <w:szCs w:val="28"/>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2" w15:restartNumberingAfterBreak="0">
    <w:nsid w:val="569019BA"/>
    <w:multiLevelType w:val="hybridMultilevel"/>
    <w:tmpl w:val="DE029C9A"/>
    <w:lvl w:ilvl="0" w:tplc="E1924BF8">
      <w:start w:val="1"/>
      <w:numFmt w:val="upperRoman"/>
      <w:lvlText w:val="%1.2"/>
      <w:lvlJc w:val="left"/>
      <w:pPr>
        <w:ind w:left="720" w:hanging="360"/>
      </w:pPr>
      <w:rPr>
        <w:rFonts w:cs="Times New Roman" w:hint="default"/>
        <w:b/>
        <w:color w:val="595959"/>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3" w15:restartNumberingAfterBreak="0">
    <w:nsid w:val="5A0E194B"/>
    <w:multiLevelType w:val="multilevel"/>
    <w:tmpl w:val="EF74FBC2"/>
    <w:lvl w:ilvl="0">
      <w:start w:val="2"/>
      <w:numFmt w:val="decimal"/>
      <w:lvlText w:val="%1"/>
      <w:lvlJc w:val="left"/>
      <w:pPr>
        <w:ind w:left="660" w:hanging="6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1DD20B8"/>
    <w:multiLevelType w:val="hybridMultilevel"/>
    <w:tmpl w:val="F60A8D7A"/>
    <w:lvl w:ilvl="0" w:tplc="03763692">
      <w:start w:val="1"/>
      <w:numFmt w:val="decimal"/>
      <w:lvlText w:val="%1."/>
      <w:lvlJc w:val="left"/>
      <w:pPr>
        <w:ind w:left="426" w:hanging="360"/>
      </w:pPr>
      <w:rPr>
        <w:rFonts w:cs="Times New Roman" w:hint="default"/>
      </w:rPr>
    </w:lvl>
    <w:lvl w:ilvl="1" w:tplc="2C0A0019" w:tentative="1">
      <w:start w:val="1"/>
      <w:numFmt w:val="lowerLetter"/>
      <w:lvlText w:val="%2."/>
      <w:lvlJc w:val="left"/>
      <w:pPr>
        <w:ind w:left="1146" w:hanging="360"/>
      </w:pPr>
      <w:rPr>
        <w:rFonts w:cs="Times New Roman"/>
      </w:rPr>
    </w:lvl>
    <w:lvl w:ilvl="2" w:tplc="2C0A001B" w:tentative="1">
      <w:start w:val="1"/>
      <w:numFmt w:val="lowerRoman"/>
      <w:lvlText w:val="%3."/>
      <w:lvlJc w:val="right"/>
      <w:pPr>
        <w:ind w:left="1866" w:hanging="180"/>
      </w:pPr>
      <w:rPr>
        <w:rFonts w:cs="Times New Roman"/>
      </w:rPr>
    </w:lvl>
    <w:lvl w:ilvl="3" w:tplc="2C0A000F" w:tentative="1">
      <w:start w:val="1"/>
      <w:numFmt w:val="decimal"/>
      <w:lvlText w:val="%4."/>
      <w:lvlJc w:val="left"/>
      <w:pPr>
        <w:ind w:left="2586" w:hanging="360"/>
      </w:pPr>
      <w:rPr>
        <w:rFonts w:cs="Times New Roman"/>
      </w:rPr>
    </w:lvl>
    <w:lvl w:ilvl="4" w:tplc="2C0A0019" w:tentative="1">
      <w:start w:val="1"/>
      <w:numFmt w:val="lowerLetter"/>
      <w:lvlText w:val="%5."/>
      <w:lvlJc w:val="left"/>
      <w:pPr>
        <w:ind w:left="3306" w:hanging="360"/>
      </w:pPr>
      <w:rPr>
        <w:rFonts w:cs="Times New Roman"/>
      </w:rPr>
    </w:lvl>
    <w:lvl w:ilvl="5" w:tplc="2C0A001B" w:tentative="1">
      <w:start w:val="1"/>
      <w:numFmt w:val="lowerRoman"/>
      <w:lvlText w:val="%6."/>
      <w:lvlJc w:val="right"/>
      <w:pPr>
        <w:ind w:left="4026" w:hanging="180"/>
      </w:pPr>
      <w:rPr>
        <w:rFonts w:cs="Times New Roman"/>
      </w:rPr>
    </w:lvl>
    <w:lvl w:ilvl="6" w:tplc="2C0A000F" w:tentative="1">
      <w:start w:val="1"/>
      <w:numFmt w:val="decimal"/>
      <w:lvlText w:val="%7."/>
      <w:lvlJc w:val="left"/>
      <w:pPr>
        <w:ind w:left="4746" w:hanging="360"/>
      </w:pPr>
      <w:rPr>
        <w:rFonts w:cs="Times New Roman"/>
      </w:rPr>
    </w:lvl>
    <w:lvl w:ilvl="7" w:tplc="2C0A0019" w:tentative="1">
      <w:start w:val="1"/>
      <w:numFmt w:val="lowerLetter"/>
      <w:lvlText w:val="%8."/>
      <w:lvlJc w:val="left"/>
      <w:pPr>
        <w:ind w:left="5466" w:hanging="360"/>
      </w:pPr>
      <w:rPr>
        <w:rFonts w:cs="Times New Roman"/>
      </w:rPr>
    </w:lvl>
    <w:lvl w:ilvl="8" w:tplc="2C0A001B" w:tentative="1">
      <w:start w:val="1"/>
      <w:numFmt w:val="lowerRoman"/>
      <w:lvlText w:val="%9."/>
      <w:lvlJc w:val="right"/>
      <w:pPr>
        <w:ind w:left="6186" w:hanging="180"/>
      </w:pPr>
      <w:rPr>
        <w:rFonts w:cs="Times New Roman"/>
      </w:rPr>
    </w:lvl>
  </w:abstractNum>
  <w:abstractNum w:abstractNumId="25" w15:restartNumberingAfterBreak="0">
    <w:nsid w:val="68C77811"/>
    <w:multiLevelType w:val="hybridMultilevel"/>
    <w:tmpl w:val="95BE3E16"/>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6" w15:restartNumberingAfterBreak="0">
    <w:nsid w:val="6CE01F79"/>
    <w:multiLevelType w:val="hybridMultilevel"/>
    <w:tmpl w:val="8C04E32C"/>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7" w15:restartNumberingAfterBreak="0">
    <w:nsid w:val="6D226DB2"/>
    <w:multiLevelType w:val="hybridMultilevel"/>
    <w:tmpl w:val="54CEC820"/>
    <w:lvl w:ilvl="0" w:tplc="A4F82D46">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8"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hint="default"/>
        <w:sz w:val="28"/>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0876B7"/>
    <w:multiLevelType w:val="multilevel"/>
    <w:tmpl w:val="868E97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800" w:hanging="1440"/>
      </w:pPr>
      <w:rPr>
        <w:rFonts w:cs="Times New Roman" w:hint="default"/>
      </w:rPr>
    </w:lvl>
    <w:lvl w:ilvl="4">
      <w:start w:val="1"/>
      <w:numFmt w:val="decimal"/>
      <w:isLgl/>
      <w:lvlText w:val="%1.%2.%3.%4.%5."/>
      <w:lvlJc w:val="left"/>
      <w:pPr>
        <w:ind w:left="2160" w:hanging="1800"/>
      </w:pPr>
      <w:rPr>
        <w:rFonts w:cs="Times New Roman" w:hint="default"/>
      </w:rPr>
    </w:lvl>
    <w:lvl w:ilvl="5">
      <w:start w:val="1"/>
      <w:numFmt w:val="decimal"/>
      <w:isLgl/>
      <w:lvlText w:val="%1.%2.%3.%4.%5.%6."/>
      <w:lvlJc w:val="left"/>
      <w:pPr>
        <w:ind w:left="2520" w:hanging="216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880" w:hanging="2520"/>
      </w:pPr>
      <w:rPr>
        <w:rFonts w:cs="Times New Roman" w:hint="default"/>
      </w:rPr>
    </w:lvl>
    <w:lvl w:ilvl="8">
      <w:start w:val="1"/>
      <w:numFmt w:val="decimal"/>
      <w:isLgl/>
      <w:lvlText w:val="%1.%2.%3.%4.%5.%6.%7.%8.%9."/>
      <w:lvlJc w:val="left"/>
      <w:pPr>
        <w:ind w:left="3240" w:hanging="2880"/>
      </w:pPr>
      <w:rPr>
        <w:rFonts w:cs="Times New Roman" w:hint="default"/>
      </w:r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90B7DB7"/>
    <w:multiLevelType w:val="hybridMultilevel"/>
    <w:tmpl w:val="F0C2DE84"/>
    <w:lvl w:ilvl="0" w:tplc="BD0624F4">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15:restartNumberingAfterBreak="0">
    <w:nsid w:val="7C354131"/>
    <w:multiLevelType w:val="hybridMultilevel"/>
    <w:tmpl w:val="BF68A070"/>
    <w:lvl w:ilvl="0" w:tplc="2C0A000F">
      <w:start w:val="4"/>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1"/>
  </w:num>
  <w:num w:numId="2">
    <w:abstractNumId w:val="29"/>
  </w:num>
  <w:num w:numId="3">
    <w:abstractNumId w:val="7"/>
  </w:num>
  <w:num w:numId="4">
    <w:abstractNumId w:val="2"/>
  </w:num>
  <w:num w:numId="5">
    <w:abstractNumId w:val="9"/>
  </w:num>
  <w:num w:numId="6">
    <w:abstractNumId w:val="17"/>
  </w:num>
  <w:num w:numId="7">
    <w:abstractNumId w:val="15"/>
  </w:num>
  <w:num w:numId="8">
    <w:abstractNumId w:val="26"/>
  </w:num>
  <w:num w:numId="9">
    <w:abstractNumId w:val="12"/>
  </w:num>
  <w:num w:numId="10">
    <w:abstractNumId w:val="25"/>
  </w:num>
  <w:num w:numId="11">
    <w:abstractNumId w:val="6"/>
  </w:num>
  <w:num w:numId="12">
    <w:abstractNumId w:val="21"/>
  </w:num>
  <w:num w:numId="13">
    <w:abstractNumId w:val="19"/>
  </w:num>
  <w:num w:numId="14">
    <w:abstractNumId w:val="13"/>
  </w:num>
  <w:num w:numId="15">
    <w:abstractNumId w:val="33"/>
  </w:num>
  <w:num w:numId="16">
    <w:abstractNumId w:val="18"/>
  </w:num>
  <w:num w:numId="17">
    <w:abstractNumId w:val="20"/>
  </w:num>
  <w:num w:numId="18">
    <w:abstractNumId w:val="23"/>
  </w:num>
  <w:num w:numId="19">
    <w:abstractNumId w:val="1"/>
  </w:num>
  <w:num w:numId="20">
    <w:abstractNumId w:val="30"/>
  </w:num>
  <w:num w:numId="21">
    <w:abstractNumId w:val="14"/>
  </w:num>
  <w:num w:numId="22">
    <w:abstractNumId w:val="28"/>
  </w:num>
  <w:num w:numId="23">
    <w:abstractNumId w:val="22"/>
  </w:num>
  <w:num w:numId="24">
    <w:abstractNumId w:val="8"/>
  </w:num>
  <w:num w:numId="25">
    <w:abstractNumId w:val="27"/>
  </w:num>
  <w:num w:numId="26">
    <w:abstractNumId w:val="32"/>
  </w:num>
  <w:num w:numId="27">
    <w:abstractNumId w:val="0"/>
  </w:num>
  <w:num w:numId="28">
    <w:abstractNumId w:val="5"/>
  </w:num>
  <w:num w:numId="29">
    <w:abstractNumId w:val="4"/>
  </w:num>
  <w:num w:numId="30">
    <w:abstractNumId w:val="31"/>
  </w:num>
  <w:num w:numId="31">
    <w:abstractNumId w:val="16"/>
  </w:num>
  <w:num w:numId="32">
    <w:abstractNumId w:val="10"/>
  </w:num>
  <w:num w:numId="33">
    <w:abstractNumId w:val="24"/>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471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03"/>
    <w:rsid w:val="00002821"/>
    <w:rsid w:val="00005B8D"/>
    <w:rsid w:val="00006415"/>
    <w:rsid w:val="0000691A"/>
    <w:rsid w:val="00006FFE"/>
    <w:rsid w:val="000070C0"/>
    <w:rsid w:val="000079FC"/>
    <w:rsid w:val="00007FE3"/>
    <w:rsid w:val="00010650"/>
    <w:rsid w:val="00011A9E"/>
    <w:rsid w:val="00012CF8"/>
    <w:rsid w:val="0001442A"/>
    <w:rsid w:val="00015A46"/>
    <w:rsid w:val="00016B65"/>
    <w:rsid w:val="00017CD6"/>
    <w:rsid w:val="00017E9B"/>
    <w:rsid w:val="000203BE"/>
    <w:rsid w:val="00021206"/>
    <w:rsid w:val="0002129C"/>
    <w:rsid w:val="00021922"/>
    <w:rsid w:val="000226DD"/>
    <w:rsid w:val="00022CA8"/>
    <w:rsid w:val="00023A01"/>
    <w:rsid w:val="0002551C"/>
    <w:rsid w:val="00026545"/>
    <w:rsid w:val="000269B4"/>
    <w:rsid w:val="00026DFF"/>
    <w:rsid w:val="000275FC"/>
    <w:rsid w:val="0002793A"/>
    <w:rsid w:val="00027D12"/>
    <w:rsid w:val="0003061E"/>
    <w:rsid w:val="00031261"/>
    <w:rsid w:val="000314F5"/>
    <w:rsid w:val="00031910"/>
    <w:rsid w:val="0003359A"/>
    <w:rsid w:val="00033A94"/>
    <w:rsid w:val="00036127"/>
    <w:rsid w:val="00037510"/>
    <w:rsid w:val="00037859"/>
    <w:rsid w:val="0004003A"/>
    <w:rsid w:val="00041505"/>
    <w:rsid w:val="00041E13"/>
    <w:rsid w:val="00042637"/>
    <w:rsid w:val="00044950"/>
    <w:rsid w:val="0004598E"/>
    <w:rsid w:val="00045B8F"/>
    <w:rsid w:val="00046559"/>
    <w:rsid w:val="000467AA"/>
    <w:rsid w:val="00047C4B"/>
    <w:rsid w:val="0005057E"/>
    <w:rsid w:val="000511E3"/>
    <w:rsid w:val="00052871"/>
    <w:rsid w:val="00052C9F"/>
    <w:rsid w:val="000545D3"/>
    <w:rsid w:val="00055503"/>
    <w:rsid w:val="00061BF8"/>
    <w:rsid w:val="000621E3"/>
    <w:rsid w:val="0006246B"/>
    <w:rsid w:val="00063496"/>
    <w:rsid w:val="00063BAC"/>
    <w:rsid w:val="00064922"/>
    <w:rsid w:val="0006663A"/>
    <w:rsid w:val="00070F4E"/>
    <w:rsid w:val="000713BA"/>
    <w:rsid w:val="000716F2"/>
    <w:rsid w:val="0007326B"/>
    <w:rsid w:val="00074044"/>
    <w:rsid w:val="0007490F"/>
    <w:rsid w:val="00075A36"/>
    <w:rsid w:val="00077161"/>
    <w:rsid w:val="00081E2C"/>
    <w:rsid w:val="00082151"/>
    <w:rsid w:val="00082260"/>
    <w:rsid w:val="000834B3"/>
    <w:rsid w:val="0008397B"/>
    <w:rsid w:val="00083E05"/>
    <w:rsid w:val="00084676"/>
    <w:rsid w:val="000847BD"/>
    <w:rsid w:val="000847FA"/>
    <w:rsid w:val="00085373"/>
    <w:rsid w:val="00085652"/>
    <w:rsid w:val="00086845"/>
    <w:rsid w:val="000871EA"/>
    <w:rsid w:val="00087761"/>
    <w:rsid w:val="00087782"/>
    <w:rsid w:val="000906E1"/>
    <w:rsid w:val="00090C89"/>
    <w:rsid w:val="00090F74"/>
    <w:rsid w:val="00090FA1"/>
    <w:rsid w:val="00091393"/>
    <w:rsid w:val="00092001"/>
    <w:rsid w:val="00092275"/>
    <w:rsid w:val="000923A1"/>
    <w:rsid w:val="000932B2"/>
    <w:rsid w:val="00094442"/>
    <w:rsid w:val="00095083"/>
    <w:rsid w:val="00096670"/>
    <w:rsid w:val="000A05E5"/>
    <w:rsid w:val="000A06CC"/>
    <w:rsid w:val="000A2758"/>
    <w:rsid w:val="000A2CA7"/>
    <w:rsid w:val="000B0A1E"/>
    <w:rsid w:val="000B1367"/>
    <w:rsid w:val="000B2101"/>
    <w:rsid w:val="000B2607"/>
    <w:rsid w:val="000B3EFC"/>
    <w:rsid w:val="000B4674"/>
    <w:rsid w:val="000B5E54"/>
    <w:rsid w:val="000B742E"/>
    <w:rsid w:val="000B7969"/>
    <w:rsid w:val="000C0E18"/>
    <w:rsid w:val="000C0F3D"/>
    <w:rsid w:val="000C0F59"/>
    <w:rsid w:val="000C10A7"/>
    <w:rsid w:val="000C1E8B"/>
    <w:rsid w:val="000C2071"/>
    <w:rsid w:val="000C30A4"/>
    <w:rsid w:val="000C5318"/>
    <w:rsid w:val="000C53CB"/>
    <w:rsid w:val="000C59A5"/>
    <w:rsid w:val="000C5A41"/>
    <w:rsid w:val="000C5CD8"/>
    <w:rsid w:val="000C667D"/>
    <w:rsid w:val="000C6A50"/>
    <w:rsid w:val="000C731C"/>
    <w:rsid w:val="000D0B19"/>
    <w:rsid w:val="000D18C6"/>
    <w:rsid w:val="000D22B2"/>
    <w:rsid w:val="000D2D26"/>
    <w:rsid w:val="000D3BF3"/>
    <w:rsid w:val="000D41ED"/>
    <w:rsid w:val="000D65EE"/>
    <w:rsid w:val="000E25FC"/>
    <w:rsid w:val="000E3F48"/>
    <w:rsid w:val="000E540C"/>
    <w:rsid w:val="000E64CD"/>
    <w:rsid w:val="000E64E1"/>
    <w:rsid w:val="000F1BA9"/>
    <w:rsid w:val="000F240E"/>
    <w:rsid w:val="000F24B7"/>
    <w:rsid w:val="000F2D3C"/>
    <w:rsid w:val="000F2F68"/>
    <w:rsid w:val="000F344A"/>
    <w:rsid w:val="000F3529"/>
    <w:rsid w:val="000F408F"/>
    <w:rsid w:val="000F49D8"/>
    <w:rsid w:val="000F5F4B"/>
    <w:rsid w:val="000F67AF"/>
    <w:rsid w:val="000F7364"/>
    <w:rsid w:val="000F7545"/>
    <w:rsid w:val="000F78CC"/>
    <w:rsid w:val="000F7F22"/>
    <w:rsid w:val="0010084A"/>
    <w:rsid w:val="00103FEB"/>
    <w:rsid w:val="001043AB"/>
    <w:rsid w:val="00104EBF"/>
    <w:rsid w:val="00105BB9"/>
    <w:rsid w:val="00105E53"/>
    <w:rsid w:val="001060CF"/>
    <w:rsid w:val="001067DD"/>
    <w:rsid w:val="00107891"/>
    <w:rsid w:val="00107C3F"/>
    <w:rsid w:val="00110612"/>
    <w:rsid w:val="0011236E"/>
    <w:rsid w:val="001123E3"/>
    <w:rsid w:val="00113927"/>
    <w:rsid w:val="0011526E"/>
    <w:rsid w:val="00115E59"/>
    <w:rsid w:val="001172B1"/>
    <w:rsid w:val="001172DC"/>
    <w:rsid w:val="001201BA"/>
    <w:rsid w:val="0012107C"/>
    <w:rsid w:val="00121185"/>
    <w:rsid w:val="00121C03"/>
    <w:rsid w:val="00122A4D"/>
    <w:rsid w:val="00123DE9"/>
    <w:rsid w:val="001243E4"/>
    <w:rsid w:val="00125230"/>
    <w:rsid w:val="00125744"/>
    <w:rsid w:val="00125CD7"/>
    <w:rsid w:val="00125ED4"/>
    <w:rsid w:val="00126563"/>
    <w:rsid w:val="0013022B"/>
    <w:rsid w:val="0013102A"/>
    <w:rsid w:val="00131F12"/>
    <w:rsid w:val="0013284F"/>
    <w:rsid w:val="00133208"/>
    <w:rsid w:val="00133542"/>
    <w:rsid w:val="00134856"/>
    <w:rsid w:val="00134974"/>
    <w:rsid w:val="0013582A"/>
    <w:rsid w:val="00136054"/>
    <w:rsid w:val="001364E3"/>
    <w:rsid w:val="00136741"/>
    <w:rsid w:val="001406C7"/>
    <w:rsid w:val="00141780"/>
    <w:rsid w:val="0014255D"/>
    <w:rsid w:val="00143832"/>
    <w:rsid w:val="00143F8F"/>
    <w:rsid w:val="001456F2"/>
    <w:rsid w:val="0014578F"/>
    <w:rsid w:val="00145BC0"/>
    <w:rsid w:val="00150B5C"/>
    <w:rsid w:val="001517FD"/>
    <w:rsid w:val="0015186B"/>
    <w:rsid w:val="001527CA"/>
    <w:rsid w:val="00156F25"/>
    <w:rsid w:val="00156FFF"/>
    <w:rsid w:val="00157CC0"/>
    <w:rsid w:val="0016101B"/>
    <w:rsid w:val="00161670"/>
    <w:rsid w:val="00161AED"/>
    <w:rsid w:val="001621B5"/>
    <w:rsid w:val="001621D6"/>
    <w:rsid w:val="00163884"/>
    <w:rsid w:val="00164D49"/>
    <w:rsid w:val="001661A5"/>
    <w:rsid w:val="00166968"/>
    <w:rsid w:val="0017104B"/>
    <w:rsid w:val="001724AD"/>
    <w:rsid w:val="0017348B"/>
    <w:rsid w:val="00174CC3"/>
    <w:rsid w:val="00175D99"/>
    <w:rsid w:val="001774DE"/>
    <w:rsid w:val="00177F4B"/>
    <w:rsid w:val="001800F4"/>
    <w:rsid w:val="00180939"/>
    <w:rsid w:val="001846DD"/>
    <w:rsid w:val="00184B79"/>
    <w:rsid w:val="001850B4"/>
    <w:rsid w:val="001859A6"/>
    <w:rsid w:val="00185D70"/>
    <w:rsid w:val="00190D88"/>
    <w:rsid w:val="00192007"/>
    <w:rsid w:val="0019380C"/>
    <w:rsid w:val="00195050"/>
    <w:rsid w:val="00195233"/>
    <w:rsid w:val="001953A5"/>
    <w:rsid w:val="00195CD8"/>
    <w:rsid w:val="001966F3"/>
    <w:rsid w:val="001967A0"/>
    <w:rsid w:val="00196AE4"/>
    <w:rsid w:val="00197117"/>
    <w:rsid w:val="00197334"/>
    <w:rsid w:val="00197B14"/>
    <w:rsid w:val="001A0136"/>
    <w:rsid w:val="001A0700"/>
    <w:rsid w:val="001A0959"/>
    <w:rsid w:val="001A0B1E"/>
    <w:rsid w:val="001A27C6"/>
    <w:rsid w:val="001A2A39"/>
    <w:rsid w:val="001A329C"/>
    <w:rsid w:val="001A3613"/>
    <w:rsid w:val="001A4CD4"/>
    <w:rsid w:val="001A5164"/>
    <w:rsid w:val="001A6C07"/>
    <w:rsid w:val="001B1D44"/>
    <w:rsid w:val="001B2015"/>
    <w:rsid w:val="001B2812"/>
    <w:rsid w:val="001B3F6A"/>
    <w:rsid w:val="001B416C"/>
    <w:rsid w:val="001B473E"/>
    <w:rsid w:val="001B4996"/>
    <w:rsid w:val="001B635D"/>
    <w:rsid w:val="001B649E"/>
    <w:rsid w:val="001B678B"/>
    <w:rsid w:val="001C106E"/>
    <w:rsid w:val="001C10A8"/>
    <w:rsid w:val="001C34A2"/>
    <w:rsid w:val="001C3D57"/>
    <w:rsid w:val="001C41D3"/>
    <w:rsid w:val="001C50A1"/>
    <w:rsid w:val="001C52FB"/>
    <w:rsid w:val="001C6606"/>
    <w:rsid w:val="001C75E6"/>
    <w:rsid w:val="001C7D32"/>
    <w:rsid w:val="001D009C"/>
    <w:rsid w:val="001D0819"/>
    <w:rsid w:val="001D0CEC"/>
    <w:rsid w:val="001D2CFC"/>
    <w:rsid w:val="001D3FCE"/>
    <w:rsid w:val="001D44A6"/>
    <w:rsid w:val="001E04AC"/>
    <w:rsid w:val="001E0AE3"/>
    <w:rsid w:val="001E1A41"/>
    <w:rsid w:val="001E1D6C"/>
    <w:rsid w:val="001E28D6"/>
    <w:rsid w:val="001E2F81"/>
    <w:rsid w:val="001E32DA"/>
    <w:rsid w:val="001E4421"/>
    <w:rsid w:val="001E633F"/>
    <w:rsid w:val="001E7B71"/>
    <w:rsid w:val="001F0535"/>
    <w:rsid w:val="001F1126"/>
    <w:rsid w:val="001F279A"/>
    <w:rsid w:val="001F2807"/>
    <w:rsid w:val="001F5180"/>
    <w:rsid w:val="001F5832"/>
    <w:rsid w:val="001F59B8"/>
    <w:rsid w:val="001F5BFF"/>
    <w:rsid w:val="001F7449"/>
    <w:rsid w:val="001F792B"/>
    <w:rsid w:val="00201088"/>
    <w:rsid w:val="00201F75"/>
    <w:rsid w:val="00203719"/>
    <w:rsid w:val="00203B04"/>
    <w:rsid w:val="00203CB7"/>
    <w:rsid w:val="002061F8"/>
    <w:rsid w:val="00207C77"/>
    <w:rsid w:val="002107EF"/>
    <w:rsid w:val="00210B9F"/>
    <w:rsid w:val="00210BD4"/>
    <w:rsid w:val="00214496"/>
    <w:rsid w:val="002163CF"/>
    <w:rsid w:val="00216A5C"/>
    <w:rsid w:val="00217CF0"/>
    <w:rsid w:val="00217E10"/>
    <w:rsid w:val="0022176F"/>
    <w:rsid w:val="00222706"/>
    <w:rsid w:val="00225BFD"/>
    <w:rsid w:val="00225DB8"/>
    <w:rsid w:val="00225F5A"/>
    <w:rsid w:val="002269EE"/>
    <w:rsid w:val="002276CC"/>
    <w:rsid w:val="00227F8B"/>
    <w:rsid w:val="00231361"/>
    <w:rsid w:val="0023281C"/>
    <w:rsid w:val="002343DD"/>
    <w:rsid w:val="0023519E"/>
    <w:rsid w:val="00235617"/>
    <w:rsid w:val="00235F8D"/>
    <w:rsid w:val="002362F7"/>
    <w:rsid w:val="00236563"/>
    <w:rsid w:val="00241A70"/>
    <w:rsid w:val="00242F4D"/>
    <w:rsid w:val="00243CD3"/>
    <w:rsid w:val="00243E20"/>
    <w:rsid w:val="00245B93"/>
    <w:rsid w:val="0024613E"/>
    <w:rsid w:val="002472B9"/>
    <w:rsid w:val="002475CB"/>
    <w:rsid w:val="00247D18"/>
    <w:rsid w:val="0025017C"/>
    <w:rsid w:val="0025105E"/>
    <w:rsid w:val="00251426"/>
    <w:rsid w:val="00251DD5"/>
    <w:rsid w:val="00255D6F"/>
    <w:rsid w:val="00257D02"/>
    <w:rsid w:val="00257E8D"/>
    <w:rsid w:val="00260846"/>
    <w:rsid w:val="002639F8"/>
    <w:rsid w:val="00263FF2"/>
    <w:rsid w:val="00266CA4"/>
    <w:rsid w:val="00266FB0"/>
    <w:rsid w:val="00271512"/>
    <w:rsid w:val="00271A56"/>
    <w:rsid w:val="00273867"/>
    <w:rsid w:val="00273F73"/>
    <w:rsid w:val="00274D2A"/>
    <w:rsid w:val="00276E8D"/>
    <w:rsid w:val="00281CE8"/>
    <w:rsid w:val="00281EC6"/>
    <w:rsid w:val="0028314B"/>
    <w:rsid w:val="00285681"/>
    <w:rsid w:val="00286133"/>
    <w:rsid w:val="002877F9"/>
    <w:rsid w:val="002879BA"/>
    <w:rsid w:val="00290D8A"/>
    <w:rsid w:val="00291407"/>
    <w:rsid w:val="002920C7"/>
    <w:rsid w:val="002968CA"/>
    <w:rsid w:val="002970FF"/>
    <w:rsid w:val="002979B1"/>
    <w:rsid w:val="002A027D"/>
    <w:rsid w:val="002A0C31"/>
    <w:rsid w:val="002A1082"/>
    <w:rsid w:val="002A1A1A"/>
    <w:rsid w:val="002A2B8F"/>
    <w:rsid w:val="002A4DEC"/>
    <w:rsid w:val="002A52F9"/>
    <w:rsid w:val="002A579B"/>
    <w:rsid w:val="002A5992"/>
    <w:rsid w:val="002A63A6"/>
    <w:rsid w:val="002A708A"/>
    <w:rsid w:val="002A7432"/>
    <w:rsid w:val="002B0C3F"/>
    <w:rsid w:val="002B0FD2"/>
    <w:rsid w:val="002B2C88"/>
    <w:rsid w:val="002B365B"/>
    <w:rsid w:val="002B409A"/>
    <w:rsid w:val="002B4417"/>
    <w:rsid w:val="002B4FD3"/>
    <w:rsid w:val="002B58F8"/>
    <w:rsid w:val="002B6DCB"/>
    <w:rsid w:val="002C063B"/>
    <w:rsid w:val="002C30C0"/>
    <w:rsid w:val="002C45FB"/>
    <w:rsid w:val="002C4801"/>
    <w:rsid w:val="002C646B"/>
    <w:rsid w:val="002C716F"/>
    <w:rsid w:val="002C7192"/>
    <w:rsid w:val="002C757C"/>
    <w:rsid w:val="002D05F0"/>
    <w:rsid w:val="002D079B"/>
    <w:rsid w:val="002D11B2"/>
    <w:rsid w:val="002D1B4A"/>
    <w:rsid w:val="002D576F"/>
    <w:rsid w:val="002D6202"/>
    <w:rsid w:val="002E1C89"/>
    <w:rsid w:val="002E2245"/>
    <w:rsid w:val="002E4FDD"/>
    <w:rsid w:val="002E56DF"/>
    <w:rsid w:val="002E5A84"/>
    <w:rsid w:val="002E773F"/>
    <w:rsid w:val="002F0750"/>
    <w:rsid w:val="002F0D69"/>
    <w:rsid w:val="002F17A8"/>
    <w:rsid w:val="002F3D2E"/>
    <w:rsid w:val="002F3F54"/>
    <w:rsid w:val="002F423B"/>
    <w:rsid w:val="002F457C"/>
    <w:rsid w:val="002F5A90"/>
    <w:rsid w:val="002F6510"/>
    <w:rsid w:val="002F664A"/>
    <w:rsid w:val="002F7077"/>
    <w:rsid w:val="003011BE"/>
    <w:rsid w:val="0030170F"/>
    <w:rsid w:val="00302A8A"/>
    <w:rsid w:val="00303CAD"/>
    <w:rsid w:val="0030564C"/>
    <w:rsid w:val="00306DE6"/>
    <w:rsid w:val="00307489"/>
    <w:rsid w:val="00307F09"/>
    <w:rsid w:val="00310E37"/>
    <w:rsid w:val="00311795"/>
    <w:rsid w:val="003130DF"/>
    <w:rsid w:val="00314638"/>
    <w:rsid w:val="00315790"/>
    <w:rsid w:val="003177F9"/>
    <w:rsid w:val="0032005D"/>
    <w:rsid w:val="003220F1"/>
    <w:rsid w:val="00323F04"/>
    <w:rsid w:val="00324ED3"/>
    <w:rsid w:val="00325C71"/>
    <w:rsid w:val="0032742A"/>
    <w:rsid w:val="0032786F"/>
    <w:rsid w:val="00332A3D"/>
    <w:rsid w:val="00333050"/>
    <w:rsid w:val="0033341F"/>
    <w:rsid w:val="00333739"/>
    <w:rsid w:val="00334450"/>
    <w:rsid w:val="0033486B"/>
    <w:rsid w:val="0033688E"/>
    <w:rsid w:val="00337858"/>
    <w:rsid w:val="00337F1C"/>
    <w:rsid w:val="003418EF"/>
    <w:rsid w:val="00341972"/>
    <w:rsid w:val="00343140"/>
    <w:rsid w:val="00343ABC"/>
    <w:rsid w:val="0035102D"/>
    <w:rsid w:val="00351D3A"/>
    <w:rsid w:val="003522E2"/>
    <w:rsid w:val="003547CB"/>
    <w:rsid w:val="003555D9"/>
    <w:rsid w:val="003555ED"/>
    <w:rsid w:val="003556FB"/>
    <w:rsid w:val="00356525"/>
    <w:rsid w:val="00356770"/>
    <w:rsid w:val="00357337"/>
    <w:rsid w:val="003576B3"/>
    <w:rsid w:val="00361D4D"/>
    <w:rsid w:val="00361EA2"/>
    <w:rsid w:val="00363417"/>
    <w:rsid w:val="003638F8"/>
    <w:rsid w:val="003648C1"/>
    <w:rsid w:val="00365420"/>
    <w:rsid w:val="00366013"/>
    <w:rsid w:val="003671BF"/>
    <w:rsid w:val="003675D1"/>
    <w:rsid w:val="003701C6"/>
    <w:rsid w:val="00371929"/>
    <w:rsid w:val="00371EEE"/>
    <w:rsid w:val="00372FA0"/>
    <w:rsid w:val="003731D4"/>
    <w:rsid w:val="00373296"/>
    <w:rsid w:val="00375F4F"/>
    <w:rsid w:val="003803A5"/>
    <w:rsid w:val="00380B9D"/>
    <w:rsid w:val="00381C26"/>
    <w:rsid w:val="0038216D"/>
    <w:rsid w:val="00385303"/>
    <w:rsid w:val="00386C95"/>
    <w:rsid w:val="0038772E"/>
    <w:rsid w:val="003928FB"/>
    <w:rsid w:val="00394C19"/>
    <w:rsid w:val="003958EB"/>
    <w:rsid w:val="003959F9"/>
    <w:rsid w:val="00396471"/>
    <w:rsid w:val="00396939"/>
    <w:rsid w:val="00397AC5"/>
    <w:rsid w:val="003A003A"/>
    <w:rsid w:val="003A0E1F"/>
    <w:rsid w:val="003A104D"/>
    <w:rsid w:val="003A1791"/>
    <w:rsid w:val="003A1AAE"/>
    <w:rsid w:val="003A33B8"/>
    <w:rsid w:val="003A3C10"/>
    <w:rsid w:val="003A3C64"/>
    <w:rsid w:val="003A3CEF"/>
    <w:rsid w:val="003A3F08"/>
    <w:rsid w:val="003A5E0F"/>
    <w:rsid w:val="003A6641"/>
    <w:rsid w:val="003A7AAF"/>
    <w:rsid w:val="003B0419"/>
    <w:rsid w:val="003B10F9"/>
    <w:rsid w:val="003B1E04"/>
    <w:rsid w:val="003B4612"/>
    <w:rsid w:val="003B563A"/>
    <w:rsid w:val="003B57CB"/>
    <w:rsid w:val="003B580F"/>
    <w:rsid w:val="003B5C2A"/>
    <w:rsid w:val="003B5F9E"/>
    <w:rsid w:val="003B6237"/>
    <w:rsid w:val="003B71DA"/>
    <w:rsid w:val="003B7DFA"/>
    <w:rsid w:val="003C1617"/>
    <w:rsid w:val="003C1C2B"/>
    <w:rsid w:val="003C1CF7"/>
    <w:rsid w:val="003C2D8D"/>
    <w:rsid w:val="003C2F27"/>
    <w:rsid w:val="003C3057"/>
    <w:rsid w:val="003C41F3"/>
    <w:rsid w:val="003C52DB"/>
    <w:rsid w:val="003C643D"/>
    <w:rsid w:val="003C67D0"/>
    <w:rsid w:val="003C6954"/>
    <w:rsid w:val="003C7AD2"/>
    <w:rsid w:val="003D0ED9"/>
    <w:rsid w:val="003D1670"/>
    <w:rsid w:val="003D3383"/>
    <w:rsid w:val="003D45AC"/>
    <w:rsid w:val="003D4804"/>
    <w:rsid w:val="003D528A"/>
    <w:rsid w:val="003D62FC"/>
    <w:rsid w:val="003D7DBF"/>
    <w:rsid w:val="003E0613"/>
    <w:rsid w:val="003E1849"/>
    <w:rsid w:val="003E1E09"/>
    <w:rsid w:val="003E2A9B"/>
    <w:rsid w:val="003E4066"/>
    <w:rsid w:val="003E4995"/>
    <w:rsid w:val="003E4E78"/>
    <w:rsid w:val="003E598D"/>
    <w:rsid w:val="003E5A2E"/>
    <w:rsid w:val="003E6324"/>
    <w:rsid w:val="003E6B3C"/>
    <w:rsid w:val="003E7251"/>
    <w:rsid w:val="003E739A"/>
    <w:rsid w:val="003E7914"/>
    <w:rsid w:val="003E7BD8"/>
    <w:rsid w:val="003F0ACD"/>
    <w:rsid w:val="003F12FC"/>
    <w:rsid w:val="003F13F9"/>
    <w:rsid w:val="003F192F"/>
    <w:rsid w:val="003F35E2"/>
    <w:rsid w:val="003F40E2"/>
    <w:rsid w:val="003F448B"/>
    <w:rsid w:val="003F4D99"/>
    <w:rsid w:val="003F5E5E"/>
    <w:rsid w:val="00401621"/>
    <w:rsid w:val="00401C89"/>
    <w:rsid w:val="004024B6"/>
    <w:rsid w:val="00402816"/>
    <w:rsid w:val="00404194"/>
    <w:rsid w:val="00404D45"/>
    <w:rsid w:val="00405309"/>
    <w:rsid w:val="0040559A"/>
    <w:rsid w:val="00406761"/>
    <w:rsid w:val="00407E61"/>
    <w:rsid w:val="00410561"/>
    <w:rsid w:val="0041119A"/>
    <w:rsid w:val="00411930"/>
    <w:rsid w:val="00411D5E"/>
    <w:rsid w:val="00412BC3"/>
    <w:rsid w:val="00413865"/>
    <w:rsid w:val="00413AED"/>
    <w:rsid w:val="00414689"/>
    <w:rsid w:val="00415721"/>
    <w:rsid w:val="0041621A"/>
    <w:rsid w:val="004162FA"/>
    <w:rsid w:val="00416749"/>
    <w:rsid w:val="0041746C"/>
    <w:rsid w:val="004200DB"/>
    <w:rsid w:val="0042074B"/>
    <w:rsid w:val="004210BE"/>
    <w:rsid w:val="004212DC"/>
    <w:rsid w:val="00422A76"/>
    <w:rsid w:val="004235B6"/>
    <w:rsid w:val="00424428"/>
    <w:rsid w:val="00424591"/>
    <w:rsid w:val="004254AF"/>
    <w:rsid w:val="00426A96"/>
    <w:rsid w:val="004273AB"/>
    <w:rsid w:val="004302E2"/>
    <w:rsid w:val="0043228F"/>
    <w:rsid w:val="00432FE7"/>
    <w:rsid w:val="00433D0B"/>
    <w:rsid w:val="0043585D"/>
    <w:rsid w:val="004376A3"/>
    <w:rsid w:val="0043792D"/>
    <w:rsid w:val="00437C07"/>
    <w:rsid w:val="004416CE"/>
    <w:rsid w:val="004416FE"/>
    <w:rsid w:val="00441E93"/>
    <w:rsid w:val="00441F3F"/>
    <w:rsid w:val="00442891"/>
    <w:rsid w:val="004437F8"/>
    <w:rsid w:val="0044442A"/>
    <w:rsid w:val="00444842"/>
    <w:rsid w:val="00444F5B"/>
    <w:rsid w:val="0044597A"/>
    <w:rsid w:val="00445E58"/>
    <w:rsid w:val="0044701B"/>
    <w:rsid w:val="00450198"/>
    <w:rsid w:val="00451159"/>
    <w:rsid w:val="00451CA4"/>
    <w:rsid w:val="00451D86"/>
    <w:rsid w:val="00451E75"/>
    <w:rsid w:val="0045271A"/>
    <w:rsid w:val="00453A11"/>
    <w:rsid w:val="00455601"/>
    <w:rsid w:val="0045678B"/>
    <w:rsid w:val="00456B2D"/>
    <w:rsid w:val="00456C53"/>
    <w:rsid w:val="00456D7A"/>
    <w:rsid w:val="00456DAE"/>
    <w:rsid w:val="004571C8"/>
    <w:rsid w:val="00457319"/>
    <w:rsid w:val="00460CAA"/>
    <w:rsid w:val="00460E04"/>
    <w:rsid w:val="00461A18"/>
    <w:rsid w:val="004646C5"/>
    <w:rsid w:val="00464CA0"/>
    <w:rsid w:val="00465470"/>
    <w:rsid w:val="00466424"/>
    <w:rsid w:val="00466478"/>
    <w:rsid w:val="004665E1"/>
    <w:rsid w:val="00466D42"/>
    <w:rsid w:val="00471669"/>
    <w:rsid w:val="00471E5C"/>
    <w:rsid w:val="00471FBE"/>
    <w:rsid w:val="004720A2"/>
    <w:rsid w:val="004722B0"/>
    <w:rsid w:val="004733A7"/>
    <w:rsid w:val="004750AA"/>
    <w:rsid w:val="0047553D"/>
    <w:rsid w:val="00475DA7"/>
    <w:rsid w:val="00475F85"/>
    <w:rsid w:val="00477921"/>
    <w:rsid w:val="00481012"/>
    <w:rsid w:val="004816FD"/>
    <w:rsid w:val="00481766"/>
    <w:rsid w:val="00482FCC"/>
    <w:rsid w:val="0048597B"/>
    <w:rsid w:val="004859AD"/>
    <w:rsid w:val="00486D50"/>
    <w:rsid w:val="00487BB7"/>
    <w:rsid w:val="00487DAE"/>
    <w:rsid w:val="00493989"/>
    <w:rsid w:val="004944A6"/>
    <w:rsid w:val="00494A22"/>
    <w:rsid w:val="00494EC6"/>
    <w:rsid w:val="00495675"/>
    <w:rsid w:val="00495D10"/>
    <w:rsid w:val="00496158"/>
    <w:rsid w:val="00497553"/>
    <w:rsid w:val="004A0152"/>
    <w:rsid w:val="004A12EB"/>
    <w:rsid w:val="004A18AD"/>
    <w:rsid w:val="004A1A90"/>
    <w:rsid w:val="004A311B"/>
    <w:rsid w:val="004A39B2"/>
    <w:rsid w:val="004A5EDC"/>
    <w:rsid w:val="004A6C86"/>
    <w:rsid w:val="004B1644"/>
    <w:rsid w:val="004B1D84"/>
    <w:rsid w:val="004B2100"/>
    <w:rsid w:val="004B2393"/>
    <w:rsid w:val="004B3229"/>
    <w:rsid w:val="004B4551"/>
    <w:rsid w:val="004B46C3"/>
    <w:rsid w:val="004B4F10"/>
    <w:rsid w:val="004B5ADF"/>
    <w:rsid w:val="004B5E24"/>
    <w:rsid w:val="004B63C9"/>
    <w:rsid w:val="004B67D8"/>
    <w:rsid w:val="004C1F89"/>
    <w:rsid w:val="004C267F"/>
    <w:rsid w:val="004C3254"/>
    <w:rsid w:val="004C45DF"/>
    <w:rsid w:val="004C4DE5"/>
    <w:rsid w:val="004C74CB"/>
    <w:rsid w:val="004D0EA4"/>
    <w:rsid w:val="004D1C65"/>
    <w:rsid w:val="004D267A"/>
    <w:rsid w:val="004D2955"/>
    <w:rsid w:val="004D29F9"/>
    <w:rsid w:val="004D2EC7"/>
    <w:rsid w:val="004D3434"/>
    <w:rsid w:val="004D34EF"/>
    <w:rsid w:val="004D3701"/>
    <w:rsid w:val="004D39AC"/>
    <w:rsid w:val="004D470E"/>
    <w:rsid w:val="004D4A4D"/>
    <w:rsid w:val="004D50D9"/>
    <w:rsid w:val="004D71C8"/>
    <w:rsid w:val="004D7A9A"/>
    <w:rsid w:val="004E117D"/>
    <w:rsid w:val="004E1F93"/>
    <w:rsid w:val="004E2D93"/>
    <w:rsid w:val="004E3330"/>
    <w:rsid w:val="004E35F6"/>
    <w:rsid w:val="004E3BD9"/>
    <w:rsid w:val="004E54D0"/>
    <w:rsid w:val="004F18CF"/>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932"/>
    <w:rsid w:val="00506D35"/>
    <w:rsid w:val="005073B4"/>
    <w:rsid w:val="00511475"/>
    <w:rsid w:val="0051212E"/>
    <w:rsid w:val="00513333"/>
    <w:rsid w:val="00513CDA"/>
    <w:rsid w:val="00513ECB"/>
    <w:rsid w:val="0051405A"/>
    <w:rsid w:val="00514976"/>
    <w:rsid w:val="00514FDA"/>
    <w:rsid w:val="00516A6C"/>
    <w:rsid w:val="005174DE"/>
    <w:rsid w:val="00520AB0"/>
    <w:rsid w:val="0052266B"/>
    <w:rsid w:val="00524005"/>
    <w:rsid w:val="0052424B"/>
    <w:rsid w:val="005252EC"/>
    <w:rsid w:val="00525683"/>
    <w:rsid w:val="005257A9"/>
    <w:rsid w:val="005257E4"/>
    <w:rsid w:val="00525AA8"/>
    <w:rsid w:val="00526140"/>
    <w:rsid w:val="00526443"/>
    <w:rsid w:val="0052675E"/>
    <w:rsid w:val="005268B9"/>
    <w:rsid w:val="00526B2B"/>
    <w:rsid w:val="00526C6D"/>
    <w:rsid w:val="00526CD7"/>
    <w:rsid w:val="00526EB4"/>
    <w:rsid w:val="00531222"/>
    <w:rsid w:val="0053174F"/>
    <w:rsid w:val="005321A7"/>
    <w:rsid w:val="00532582"/>
    <w:rsid w:val="00532929"/>
    <w:rsid w:val="00532B9D"/>
    <w:rsid w:val="00534960"/>
    <w:rsid w:val="00534E61"/>
    <w:rsid w:val="00535825"/>
    <w:rsid w:val="0053663A"/>
    <w:rsid w:val="00536E11"/>
    <w:rsid w:val="00537B8F"/>
    <w:rsid w:val="00537F10"/>
    <w:rsid w:val="00541CF8"/>
    <w:rsid w:val="00543D40"/>
    <w:rsid w:val="00545278"/>
    <w:rsid w:val="005455C3"/>
    <w:rsid w:val="0054569E"/>
    <w:rsid w:val="00545F84"/>
    <w:rsid w:val="005468F3"/>
    <w:rsid w:val="00546C69"/>
    <w:rsid w:val="00547224"/>
    <w:rsid w:val="00547271"/>
    <w:rsid w:val="005475CB"/>
    <w:rsid w:val="0055063C"/>
    <w:rsid w:val="005508FA"/>
    <w:rsid w:val="00550FFB"/>
    <w:rsid w:val="0055182C"/>
    <w:rsid w:val="0055603F"/>
    <w:rsid w:val="0055689B"/>
    <w:rsid w:val="00557218"/>
    <w:rsid w:val="005572C8"/>
    <w:rsid w:val="005611C8"/>
    <w:rsid w:val="00561ABD"/>
    <w:rsid w:val="00562CEB"/>
    <w:rsid w:val="00563706"/>
    <w:rsid w:val="00563C6E"/>
    <w:rsid w:val="0056428D"/>
    <w:rsid w:val="005654E4"/>
    <w:rsid w:val="00565EEF"/>
    <w:rsid w:val="00566BC9"/>
    <w:rsid w:val="0056770F"/>
    <w:rsid w:val="0057006B"/>
    <w:rsid w:val="00570191"/>
    <w:rsid w:val="005704A3"/>
    <w:rsid w:val="005723DE"/>
    <w:rsid w:val="00572408"/>
    <w:rsid w:val="00572BC6"/>
    <w:rsid w:val="00572D35"/>
    <w:rsid w:val="005733BE"/>
    <w:rsid w:val="00575FFD"/>
    <w:rsid w:val="005764AE"/>
    <w:rsid w:val="005769B8"/>
    <w:rsid w:val="00577047"/>
    <w:rsid w:val="00577482"/>
    <w:rsid w:val="00577A09"/>
    <w:rsid w:val="00577D87"/>
    <w:rsid w:val="0058065F"/>
    <w:rsid w:val="00580860"/>
    <w:rsid w:val="00580A7E"/>
    <w:rsid w:val="00580AC6"/>
    <w:rsid w:val="005814EC"/>
    <w:rsid w:val="00581FE8"/>
    <w:rsid w:val="00583935"/>
    <w:rsid w:val="00584543"/>
    <w:rsid w:val="00584839"/>
    <w:rsid w:val="00585887"/>
    <w:rsid w:val="005861C6"/>
    <w:rsid w:val="005868B3"/>
    <w:rsid w:val="00586A53"/>
    <w:rsid w:val="00590089"/>
    <w:rsid w:val="005910EC"/>
    <w:rsid w:val="00591C22"/>
    <w:rsid w:val="005921A8"/>
    <w:rsid w:val="005945BC"/>
    <w:rsid w:val="00597996"/>
    <w:rsid w:val="005A0D7E"/>
    <w:rsid w:val="005A104D"/>
    <w:rsid w:val="005A1549"/>
    <w:rsid w:val="005A1791"/>
    <w:rsid w:val="005A1A98"/>
    <w:rsid w:val="005A530C"/>
    <w:rsid w:val="005A5C9A"/>
    <w:rsid w:val="005A5F68"/>
    <w:rsid w:val="005A6909"/>
    <w:rsid w:val="005A6E64"/>
    <w:rsid w:val="005A71CD"/>
    <w:rsid w:val="005A7730"/>
    <w:rsid w:val="005B013A"/>
    <w:rsid w:val="005B0F94"/>
    <w:rsid w:val="005B170B"/>
    <w:rsid w:val="005B183A"/>
    <w:rsid w:val="005B36A7"/>
    <w:rsid w:val="005B6C5E"/>
    <w:rsid w:val="005B7231"/>
    <w:rsid w:val="005C149F"/>
    <w:rsid w:val="005C15D3"/>
    <w:rsid w:val="005C242C"/>
    <w:rsid w:val="005C2FA8"/>
    <w:rsid w:val="005C3C58"/>
    <w:rsid w:val="005C50DD"/>
    <w:rsid w:val="005C5ADC"/>
    <w:rsid w:val="005C5E1D"/>
    <w:rsid w:val="005C6958"/>
    <w:rsid w:val="005C6C62"/>
    <w:rsid w:val="005C7251"/>
    <w:rsid w:val="005D1912"/>
    <w:rsid w:val="005D4D0E"/>
    <w:rsid w:val="005D6073"/>
    <w:rsid w:val="005D6AF6"/>
    <w:rsid w:val="005D7697"/>
    <w:rsid w:val="005D77D1"/>
    <w:rsid w:val="005E0912"/>
    <w:rsid w:val="005E1739"/>
    <w:rsid w:val="005E1DDC"/>
    <w:rsid w:val="005E2297"/>
    <w:rsid w:val="005E2A28"/>
    <w:rsid w:val="005E3072"/>
    <w:rsid w:val="005E40DE"/>
    <w:rsid w:val="005E55DD"/>
    <w:rsid w:val="005E6435"/>
    <w:rsid w:val="005E6A09"/>
    <w:rsid w:val="005E70B8"/>
    <w:rsid w:val="005F07DE"/>
    <w:rsid w:val="005F13EA"/>
    <w:rsid w:val="005F173D"/>
    <w:rsid w:val="005F187B"/>
    <w:rsid w:val="005F2E7F"/>
    <w:rsid w:val="005F2F48"/>
    <w:rsid w:val="005F4C45"/>
    <w:rsid w:val="005F55B4"/>
    <w:rsid w:val="005F56F4"/>
    <w:rsid w:val="005F6EC9"/>
    <w:rsid w:val="00600287"/>
    <w:rsid w:val="00600782"/>
    <w:rsid w:val="00601691"/>
    <w:rsid w:val="00604B8A"/>
    <w:rsid w:val="00605430"/>
    <w:rsid w:val="0060588A"/>
    <w:rsid w:val="00607BE0"/>
    <w:rsid w:val="00610328"/>
    <w:rsid w:val="00610FDA"/>
    <w:rsid w:val="00612EBE"/>
    <w:rsid w:val="006133FA"/>
    <w:rsid w:val="006148A1"/>
    <w:rsid w:val="00614B5D"/>
    <w:rsid w:val="00616466"/>
    <w:rsid w:val="00617358"/>
    <w:rsid w:val="006209BB"/>
    <w:rsid w:val="00620ADC"/>
    <w:rsid w:val="00621D04"/>
    <w:rsid w:val="006231CD"/>
    <w:rsid w:val="00623B79"/>
    <w:rsid w:val="00623F38"/>
    <w:rsid w:val="00624872"/>
    <w:rsid w:val="00624E06"/>
    <w:rsid w:val="00627779"/>
    <w:rsid w:val="00627ED1"/>
    <w:rsid w:val="00630B66"/>
    <w:rsid w:val="00631E94"/>
    <w:rsid w:val="00632732"/>
    <w:rsid w:val="00633264"/>
    <w:rsid w:val="0063468C"/>
    <w:rsid w:val="006361CB"/>
    <w:rsid w:val="0063681F"/>
    <w:rsid w:val="00637EB7"/>
    <w:rsid w:val="006402C8"/>
    <w:rsid w:val="006416FD"/>
    <w:rsid w:val="006418D4"/>
    <w:rsid w:val="00642069"/>
    <w:rsid w:val="006425DF"/>
    <w:rsid w:val="00642934"/>
    <w:rsid w:val="00643489"/>
    <w:rsid w:val="0064538A"/>
    <w:rsid w:val="00646623"/>
    <w:rsid w:val="006469DF"/>
    <w:rsid w:val="006470A3"/>
    <w:rsid w:val="00651BEA"/>
    <w:rsid w:val="0065229D"/>
    <w:rsid w:val="0065656A"/>
    <w:rsid w:val="00660236"/>
    <w:rsid w:val="006603D4"/>
    <w:rsid w:val="00660F2C"/>
    <w:rsid w:val="00661E29"/>
    <w:rsid w:val="00662F37"/>
    <w:rsid w:val="006635F5"/>
    <w:rsid w:val="00664C07"/>
    <w:rsid w:val="006656AF"/>
    <w:rsid w:val="00666398"/>
    <w:rsid w:val="00666A44"/>
    <w:rsid w:val="00670CD6"/>
    <w:rsid w:val="00671248"/>
    <w:rsid w:val="00671937"/>
    <w:rsid w:val="00674153"/>
    <w:rsid w:val="0067581C"/>
    <w:rsid w:val="006760D6"/>
    <w:rsid w:val="00676F80"/>
    <w:rsid w:val="00680169"/>
    <w:rsid w:val="00681281"/>
    <w:rsid w:val="00681302"/>
    <w:rsid w:val="0068134C"/>
    <w:rsid w:val="00682D44"/>
    <w:rsid w:val="006866B6"/>
    <w:rsid w:val="00687E14"/>
    <w:rsid w:val="00690BE3"/>
    <w:rsid w:val="006910DA"/>
    <w:rsid w:val="006916AD"/>
    <w:rsid w:val="00691792"/>
    <w:rsid w:val="0069227D"/>
    <w:rsid w:val="0069302F"/>
    <w:rsid w:val="00693101"/>
    <w:rsid w:val="00693BB8"/>
    <w:rsid w:val="006945BB"/>
    <w:rsid w:val="00694DDE"/>
    <w:rsid w:val="00696972"/>
    <w:rsid w:val="00696D91"/>
    <w:rsid w:val="006971F3"/>
    <w:rsid w:val="006973BF"/>
    <w:rsid w:val="006A0BAB"/>
    <w:rsid w:val="006A105C"/>
    <w:rsid w:val="006A13CF"/>
    <w:rsid w:val="006A154C"/>
    <w:rsid w:val="006A1D6C"/>
    <w:rsid w:val="006A22E7"/>
    <w:rsid w:val="006A2C8C"/>
    <w:rsid w:val="006A33AF"/>
    <w:rsid w:val="006A5F4D"/>
    <w:rsid w:val="006A683B"/>
    <w:rsid w:val="006A6C2F"/>
    <w:rsid w:val="006A7D02"/>
    <w:rsid w:val="006B1B75"/>
    <w:rsid w:val="006B210F"/>
    <w:rsid w:val="006B3E84"/>
    <w:rsid w:val="006C12C6"/>
    <w:rsid w:val="006C1326"/>
    <w:rsid w:val="006C17EB"/>
    <w:rsid w:val="006C2345"/>
    <w:rsid w:val="006C37C2"/>
    <w:rsid w:val="006C4464"/>
    <w:rsid w:val="006D0B4D"/>
    <w:rsid w:val="006D0C07"/>
    <w:rsid w:val="006D126D"/>
    <w:rsid w:val="006D149E"/>
    <w:rsid w:val="006D39BB"/>
    <w:rsid w:val="006D4298"/>
    <w:rsid w:val="006D442E"/>
    <w:rsid w:val="006D61BB"/>
    <w:rsid w:val="006E0231"/>
    <w:rsid w:val="006E1993"/>
    <w:rsid w:val="006E482A"/>
    <w:rsid w:val="006E6EB9"/>
    <w:rsid w:val="006E7AE9"/>
    <w:rsid w:val="006E7D6D"/>
    <w:rsid w:val="006F002F"/>
    <w:rsid w:val="006F09BD"/>
    <w:rsid w:val="006F1111"/>
    <w:rsid w:val="006F1308"/>
    <w:rsid w:val="006F3436"/>
    <w:rsid w:val="006F35AD"/>
    <w:rsid w:val="006F39EB"/>
    <w:rsid w:val="006F3AB4"/>
    <w:rsid w:val="006F47AD"/>
    <w:rsid w:val="006F4EB7"/>
    <w:rsid w:val="006F6397"/>
    <w:rsid w:val="006F797A"/>
    <w:rsid w:val="007004F0"/>
    <w:rsid w:val="00701715"/>
    <w:rsid w:val="00702144"/>
    <w:rsid w:val="00702E29"/>
    <w:rsid w:val="00703A8E"/>
    <w:rsid w:val="00704B20"/>
    <w:rsid w:val="00706435"/>
    <w:rsid w:val="00707B97"/>
    <w:rsid w:val="0071059D"/>
    <w:rsid w:val="007151A9"/>
    <w:rsid w:val="0071679C"/>
    <w:rsid w:val="007169F9"/>
    <w:rsid w:val="007173D6"/>
    <w:rsid w:val="00717C2B"/>
    <w:rsid w:val="00720256"/>
    <w:rsid w:val="00720347"/>
    <w:rsid w:val="00720936"/>
    <w:rsid w:val="0072158E"/>
    <w:rsid w:val="0072159B"/>
    <w:rsid w:val="00721A6A"/>
    <w:rsid w:val="0072436B"/>
    <w:rsid w:val="00725D0D"/>
    <w:rsid w:val="00726307"/>
    <w:rsid w:val="007266C4"/>
    <w:rsid w:val="00726A1E"/>
    <w:rsid w:val="00726D64"/>
    <w:rsid w:val="00727791"/>
    <w:rsid w:val="00730836"/>
    <w:rsid w:val="00732D58"/>
    <w:rsid w:val="00733B17"/>
    <w:rsid w:val="007350E1"/>
    <w:rsid w:val="007364BF"/>
    <w:rsid w:val="00736749"/>
    <w:rsid w:val="007369DA"/>
    <w:rsid w:val="00741549"/>
    <w:rsid w:val="0074202B"/>
    <w:rsid w:val="0074393D"/>
    <w:rsid w:val="00743D36"/>
    <w:rsid w:val="0074499A"/>
    <w:rsid w:val="00745540"/>
    <w:rsid w:val="00745584"/>
    <w:rsid w:val="00745E8A"/>
    <w:rsid w:val="00747DB9"/>
    <w:rsid w:val="0075035A"/>
    <w:rsid w:val="007519A0"/>
    <w:rsid w:val="0075491B"/>
    <w:rsid w:val="00754D62"/>
    <w:rsid w:val="00754F72"/>
    <w:rsid w:val="00756CD5"/>
    <w:rsid w:val="00757532"/>
    <w:rsid w:val="007606A7"/>
    <w:rsid w:val="00760C2D"/>
    <w:rsid w:val="00760CE6"/>
    <w:rsid w:val="007613DB"/>
    <w:rsid w:val="0076163E"/>
    <w:rsid w:val="00762666"/>
    <w:rsid w:val="00763342"/>
    <w:rsid w:val="00763DEF"/>
    <w:rsid w:val="0076403E"/>
    <w:rsid w:val="007652F0"/>
    <w:rsid w:val="00765C4B"/>
    <w:rsid w:val="0076644C"/>
    <w:rsid w:val="00766C62"/>
    <w:rsid w:val="00767C39"/>
    <w:rsid w:val="00770F24"/>
    <w:rsid w:val="00772649"/>
    <w:rsid w:val="00773967"/>
    <w:rsid w:val="00776411"/>
    <w:rsid w:val="00777AF4"/>
    <w:rsid w:val="007803FD"/>
    <w:rsid w:val="00780B88"/>
    <w:rsid w:val="00780D96"/>
    <w:rsid w:val="0078103B"/>
    <w:rsid w:val="00781E59"/>
    <w:rsid w:val="00783F6B"/>
    <w:rsid w:val="00784617"/>
    <w:rsid w:val="00784BB9"/>
    <w:rsid w:val="007908A9"/>
    <w:rsid w:val="007909A3"/>
    <w:rsid w:val="007913BB"/>
    <w:rsid w:val="007920D9"/>
    <w:rsid w:val="0079255B"/>
    <w:rsid w:val="0079301B"/>
    <w:rsid w:val="00793114"/>
    <w:rsid w:val="0079333E"/>
    <w:rsid w:val="007933BA"/>
    <w:rsid w:val="007950B6"/>
    <w:rsid w:val="0079567C"/>
    <w:rsid w:val="00796C1D"/>
    <w:rsid w:val="00796FBA"/>
    <w:rsid w:val="007A06DC"/>
    <w:rsid w:val="007A10EC"/>
    <w:rsid w:val="007A135F"/>
    <w:rsid w:val="007A1452"/>
    <w:rsid w:val="007A20C7"/>
    <w:rsid w:val="007A22BC"/>
    <w:rsid w:val="007A26BC"/>
    <w:rsid w:val="007A2D94"/>
    <w:rsid w:val="007A3B71"/>
    <w:rsid w:val="007A5580"/>
    <w:rsid w:val="007A5857"/>
    <w:rsid w:val="007A586D"/>
    <w:rsid w:val="007A5B30"/>
    <w:rsid w:val="007A64C1"/>
    <w:rsid w:val="007A6CA9"/>
    <w:rsid w:val="007B0DDC"/>
    <w:rsid w:val="007B2041"/>
    <w:rsid w:val="007B2C59"/>
    <w:rsid w:val="007B42CA"/>
    <w:rsid w:val="007B48A7"/>
    <w:rsid w:val="007B506B"/>
    <w:rsid w:val="007B6CDB"/>
    <w:rsid w:val="007B7EB4"/>
    <w:rsid w:val="007C11BC"/>
    <w:rsid w:val="007C11F5"/>
    <w:rsid w:val="007C2872"/>
    <w:rsid w:val="007D2666"/>
    <w:rsid w:val="007D293D"/>
    <w:rsid w:val="007D296B"/>
    <w:rsid w:val="007D555F"/>
    <w:rsid w:val="007D55E5"/>
    <w:rsid w:val="007D6D4E"/>
    <w:rsid w:val="007E0237"/>
    <w:rsid w:val="007E1155"/>
    <w:rsid w:val="007E122E"/>
    <w:rsid w:val="007E3B34"/>
    <w:rsid w:val="007E3C37"/>
    <w:rsid w:val="007E4275"/>
    <w:rsid w:val="007E4C59"/>
    <w:rsid w:val="007E50E1"/>
    <w:rsid w:val="007E5316"/>
    <w:rsid w:val="007E7468"/>
    <w:rsid w:val="007F0CBC"/>
    <w:rsid w:val="007F327E"/>
    <w:rsid w:val="007F3604"/>
    <w:rsid w:val="007F39AA"/>
    <w:rsid w:val="007F4B5C"/>
    <w:rsid w:val="007F4CE4"/>
    <w:rsid w:val="007F4D91"/>
    <w:rsid w:val="007F655A"/>
    <w:rsid w:val="007F6D72"/>
    <w:rsid w:val="007F736F"/>
    <w:rsid w:val="008008A8"/>
    <w:rsid w:val="00800A1C"/>
    <w:rsid w:val="00801584"/>
    <w:rsid w:val="00801CB5"/>
    <w:rsid w:val="0080300B"/>
    <w:rsid w:val="00804BCE"/>
    <w:rsid w:val="008057F0"/>
    <w:rsid w:val="00807E16"/>
    <w:rsid w:val="00810E05"/>
    <w:rsid w:val="008115D9"/>
    <w:rsid w:val="00812E10"/>
    <w:rsid w:val="00814A87"/>
    <w:rsid w:val="00815CB6"/>
    <w:rsid w:val="00817B9F"/>
    <w:rsid w:val="00820651"/>
    <w:rsid w:val="00820D33"/>
    <w:rsid w:val="00820E87"/>
    <w:rsid w:val="00821D2B"/>
    <w:rsid w:val="00822E4C"/>
    <w:rsid w:val="00823585"/>
    <w:rsid w:val="008237BF"/>
    <w:rsid w:val="00825A1E"/>
    <w:rsid w:val="00827066"/>
    <w:rsid w:val="008273B2"/>
    <w:rsid w:val="0082789D"/>
    <w:rsid w:val="00830526"/>
    <w:rsid w:val="00831307"/>
    <w:rsid w:val="00833700"/>
    <w:rsid w:val="00833946"/>
    <w:rsid w:val="00834931"/>
    <w:rsid w:val="00836D84"/>
    <w:rsid w:val="008372EC"/>
    <w:rsid w:val="00837689"/>
    <w:rsid w:val="00837EB5"/>
    <w:rsid w:val="008405FC"/>
    <w:rsid w:val="00840B90"/>
    <w:rsid w:val="00841240"/>
    <w:rsid w:val="008412D9"/>
    <w:rsid w:val="00842C47"/>
    <w:rsid w:val="00843727"/>
    <w:rsid w:val="00843D92"/>
    <w:rsid w:val="0084449E"/>
    <w:rsid w:val="00845274"/>
    <w:rsid w:val="008462EA"/>
    <w:rsid w:val="00846FA8"/>
    <w:rsid w:val="008470E4"/>
    <w:rsid w:val="008474BE"/>
    <w:rsid w:val="00847810"/>
    <w:rsid w:val="00847CBA"/>
    <w:rsid w:val="008509D6"/>
    <w:rsid w:val="008536AB"/>
    <w:rsid w:val="008567DD"/>
    <w:rsid w:val="00856B82"/>
    <w:rsid w:val="00856CBB"/>
    <w:rsid w:val="008614A7"/>
    <w:rsid w:val="00862731"/>
    <w:rsid w:val="00862C15"/>
    <w:rsid w:val="008631B2"/>
    <w:rsid w:val="008635DC"/>
    <w:rsid w:val="00866238"/>
    <w:rsid w:val="0086639A"/>
    <w:rsid w:val="008675C0"/>
    <w:rsid w:val="008701CE"/>
    <w:rsid w:val="00871FC5"/>
    <w:rsid w:val="00872490"/>
    <w:rsid w:val="008724A1"/>
    <w:rsid w:val="00873824"/>
    <w:rsid w:val="00875AE9"/>
    <w:rsid w:val="00876FE2"/>
    <w:rsid w:val="00880CBF"/>
    <w:rsid w:val="00881F18"/>
    <w:rsid w:val="00885DB3"/>
    <w:rsid w:val="00885DDC"/>
    <w:rsid w:val="0088692B"/>
    <w:rsid w:val="00886A4D"/>
    <w:rsid w:val="008870E2"/>
    <w:rsid w:val="008876DE"/>
    <w:rsid w:val="00887C01"/>
    <w:rsid w:val="0089120B"/>
    <w:rsid w:val="00891231"/>
    <w:rsid w:val="008927E2"/>
    <w:rsid w:val="0089291C"/>
    <w:rsid w:val="008931AC"/>
    <w:rsid w:val="00894589"/>
    <w:rsid w:val="00894FDC"/>
    <w:rsid w:val="00895212"/>
    <w:rsid w:val="0089558F"/>
    <w:rsid w:val="00896B23"/>
    <w:rsid w:val="00897321"/>
    <w:rsid w:val="00897BBB"/>
    <w:rsid w:val="008A0AFC"/>
    <w:rsid w:val="008A0D31"/>
    <w:rsid w:val="008A2941"/>
    <w:rsid w:val="008A3961"/>
    <w:rsid w:val="008A427E"/>
    <w:rsid w:val="008A56CC"/>
    <w:rsid w:val="008A73DB"/>
    <w:rsid w:val="008A73EE"/>
    <w:rsid w:val="008A79C6"/>
    <w:rsid w:val="008B0C8B"/>
    <w:rsid w:val="008B0D1B"/>
    <w:rsid w:val="008B158D"/>
    <w:rsid w:val="008B1E54"/>
    <w:rsid w:val="008B225C"/>
    <w:rsid w:val="008B22D0"/>
    <w:rsid w:val="008B2B7E"/>
    <w:rsid w:val="008B3295"/>
    <w:rsid w:val="008B4EB6"/>
    <w:rsid w:val="008B5A49"/>
    <w:rsid w:val="008C2665"/>
    <w:rsid w:val="008C26EC"/>
    <w:rsid w:val="008C2DFB"/>
    <w:rsid w:val="008C3551"/>
    <w:rsid w:val="008C70C4"/>
    <w:rsid w:val="008D07D6"/>
    <w:rsid w:val="008D0A87"/>
    <w:rsid w:val="008D0EF6"/>
    <w:rsid w:val="008D2CBA"/>
    <w:rsid w:val="008D300D"/>
    <w:rsid w:val="008D453C"/>
    <w:rsid w:val="008D499D"/>
    <w:rsid w:val="008D57CF"/>
    <w:rsid w:val="008D6E02"/>
    <w:rsid w:val="008D7523"/>
    <w:rsid w:val="008D7727"/>
    <w:rsid w:val="008E03D1"/>
    <w:rsid w:val="008E145B"/>
    <w:rsid w:val="008E307C"/>
    <w:rsid w:val="008E3590"/>
    <w:rsid w:val="008E57E6"/>
    <w:rsid w:val="008E59D3"/>
    <w:rsid w:val="008E606D"/>
    <w:rsid w:val="008E707F"/>
    <w:rsid w:val="008E7489"/>
    <w:rsid w:val="008E79E4"/>
    <w:rsid w:val="008E7D17"/>
    <w:rsid w:val="008E7D9A"/>
    <w:rsid w:val="008F0A43"/>
    <w:rsid w:val="008F1463"/>
    <w:rsid w:val="008F219B"/>
    <w:rsid w:val="008F2D4B"/>
    <w:rsid w:val="008F3017"/>
    <w:rsid w:val="008F43F7"/>
    <w:rsid w:val="008F55A4"/>
    <w:rsid w:val="008F5B4B"/>
    <w:rsid w:val="008F68B7"/>
    <w:rsid w:val="008F7E39"/>
    <w:rsid w:val="00901097"/>
    <w:rsid w:val="009017D4"/>
    <w:rsid w:val="00901BC6"/>
    <w:rsid w:val="00901DFE"/>
    <w:rsid w:val="0090262D"/>
    <w:rsid w:val="00902895"/>
    <w:rsid w:val="00902A26"/>
    <w:rsid w:val="009038CE"/>
    <w:rsid w:val="00904F1B"/>
    <w:rsid w:val="00906BCC"/>
    <w:rsid w:val="00907252"/>
    <w:rsid w:val="00907EF4"/>
    <w:rsid w:val="00910C0F"/>
    <w:rsid w:val="00911152"/>
    <w:rsid w:val="0091131F"/>
    <w:rsid w:val="00911EB1"/>
    <w:rsid w:val="00913CC8"/>
    <w:rsid w:val="00915357"/>
    <w:rsid w:val="009156C3"/>
    <w:rsid w:val="009161B9"/>
    <w:rsid w:val="009163C1"/>
    <w:rsid w:val="0091680A"/>
    <w:rsid w:val="00916A68"/>
    <w:rsid w:val="0091773B"/>
    <w:rsid w:val="00917D91"/>
    <w:rsid w:val="00917E92"/>
    <w:rsid w:val="0092216B"/>
    <w:rsid w:val="00922FCF"/>
    <w:rsid w:val="00923C01"/>
    <w:rsid w:val="009241A6"/>
    <w:rsid w:val="009248A1"/>
    <w:rsid w:val="009256AA"/>
    <w:rsid w:val="0092685C"/>
    <w:rsid w:val="0092763B"/>
    <w:rsid w:val="00927B39"/>
    <w:rsid w:val="0093024B"/>
    <w:rsid w:val="009313CA"/>
    <w:rsid w:val="0093225A"/>
    <w:rsid w:val="00934470"/>
    <w:rsid w:val="00934EA4"/>
    <w:rsid w:val="0093500A"/>
    <w:rsid w:val="0093539D"/>
    <w:rsid w:val="009356DE"/>
    <w:rsid w:val="00936066"/>
    <w:rsid w:val="0093671F"/>
    <w:rsid w:val="00936852"/>
    <w:rsid w:val="0093792B"/>
    <w:rsid w:val="00940E33"/>
    <w:rsid w:val="009411EB"/>
    <w:rsid w:val="009418B9"/>
    <w:rsid w:val="00941A3D"/>
    <w:rsid w:val="00941C4A"/>
    <w:rsid w:val="00941D71"/>
    <w:rsid w:val="009425EB"/>
    <w:rsid w:val="00942B0E"/>
    <w:rsid w:val="00944CB3"/>
    <w:rsid w:val="00944DE6"/>
    <w:rsid w:val="009466A8"/>
    <w:rsid w:val="009469AD"/>
    <w:rsid w:val="00947F27"/>
    <w:rsid w:val="00951BA6"/>
    <w:rsid w:val="00952CC1"/>
    <w:rsid w:val="00953115"/>
    <w:rsid w:val="0095347F"/>
    <w:rsid w:val="009541BC"/>
    <w:rsid w:val="0095583C"/>
    <w:rsid w:val="00955F6D"/>
    <w:rsid w:val="0095791D"/>
    <w:rsid w:val="00957EFD"/>
    <w:rsid w:val="00960681"/>
    <w:rsid w:val="00960BA4"/>
    <w:rsid w:val="00963E2E"/>
    <w:rsid w:val="00963F3E"/>
    <w:rsid w:val="00965878"/>
    <w:rsid w:val="00965CC0"/>
    <w:rsid w:val="00966255"/>
    <w:rsid w:val="00967157"/>
    <w:rsid w:val="00971469"/>
    <w:rsid w:val="00971976"/>
    <w:rsid w:val="00971D33"/>
    <w:rsid w:val="009720E2"/>
    <w:rsid w:val="0097243F"/>
    <w:rsid w:val="00972D6A"/>
    <w:rsid w:val="00972DB3"/>
    <w:rsid w:val="0097344D"/>
    <w:rsid w:val="00973461"/>
    <w:rsid w:val="009741DA"/>
    <w:rsid w:val="00976692"/>
    <w:rsid w:val="0097761D"/>
    <w:rsid w:val="00980303"/>
    <w:rsid w:val="009828A6"/>
    <w:rsid w:val="00985E03"/>
    <w:rsid w:val="00986E30"/>
    <w:rsid w:val="00990183"/>
    <w:rsid w:val="009908F2"/>
    <w:rsid w:val="009926F1"/>
    <w:rsid w:val="00992B72"/>
    <w:rsid w:val="00993E07"/>
    <w:rsid w:val="00994602"/>
    <w:rsid w:val="009974EB"/>
    <w:rsid w:val="009A039A"/>
    <w:rsid w:val="009A0C7B"/>
    <w:rsid w:val="009A0F3D"/>
    <w:rsid w:val="009A210B"/>
    <w:rsid w:val="009A268C"/>
    <w:rsid w:val="009A2866"/>
    <w:rsid w:val="009A49B5"/>
    <w:rsid w:val="009A4C94"/>
    <w:rsid w:val="009A5175"/>
    <w:rsid w:val="009A552C"/>
    <w:rsid w:val="009B09EA"/>
    <w:rsid w:val="009B1F38"/>
    <w:rsid w:val="009B219C"/>
    <w:rsid w:val="009B2A7A"/>
    <w:rsid w:val="009B3E60"/>
    <w:rsid w:val="009B3EEB"/>
    <w:rsid w:val="009B4274"/>
    <w:rsid w:val="009B5D7E"/>
    <w:rsid w:val="009B6205"/>
    <w:rsid w:val="009B765D"/>
    <w:rsid w:val="009B7B23"/>
    <w:rsid w:val="009C02DB"/>
    <w:rsid w:val="009C0D1A"/>
    <w:rsid w:val="009C171B"/>
    <w:rsid w:val="009C3637"/>
    <w:rsid w:val="009C3CE7"/>
    <w:rsid w:val="009C3F36"/>
    <w:rsid w:val="009C4C44"/>
    <w:rsid w:val="009C6479"/>
    <w:rsid w:val="009C6531"/>
    <w:rsid w:val="009C6738"/>
    <w:rsid w:val="009C67FF"/>
    <w:rsid w:val="009C6D09"/>
    <w:rsid w:val="009C7105"/>
    <w:rsid w:val="009C75E1"/>
    <w:rsid w:val="009C7F39"/>
    <w:rsid w:val="009D1066"/>
    <w:rsid w:val="009D48DB"/>
    <w:rsid w:val="009D4A14"/>
    <w:rsid w:val="009D5DD0"/>
    <w:rsid w:val="009D5F8A"/>
    <w:rsid w:val="009D63AD"/>
    <w:rsid w:val="009D6BFA"/>
    <w:rsid w:val="009D6D14"/>
    <w:rsid w:val="009E07E8"/>
    <w:rsid w:val="009E1F36"/>
    <w:rsid w:val="009E24EB"/>
    <w:rsid w:val="009E28D9"/>
    <w:rsid w:val="009E3283"/>
    <w:rsid w:val="009E338B"/>
    <w:rsid w:val="009E392C"/>
    <w:rsid w:val="009E4A0B"/>
    <w:rsid w:val="009E4AD8"/>
    <w:rsid w:val="009E4F95"/>
    <w:rsid w:val="009E5336"/>
    <w:rsid w:val="009E7003"/>
    <w:rsid w:val="009F07DD"/>
    <w:rsid w:val="009F22A6"/>
    <w:rsid w:val="009F2FA2"/>
    <w:rsid w:val="009F42AD"/>
    <w:rsid w:val="009F6EC0"/>
    <w:rsid w:val="00A00738"/>
    <w:rsid w:val="00A00949"/>
    <w:rsid w:val="00A0123C"/>
    <w:rsid w:val="00A01F43"/>
    <w:rsid w:val="00A0249C"/>
    <w:rsid w:val="00A02F9C"/>
    <w:rsid w:val="00A04BB9"/>
    <w:rsid w:val="00A04D95"/>
    <w:rsid w:val="00A07305"/>
    <w:rsid w:val="00A075BC"/>
    <w:rsid w:val="00A10955"/>
    <w:rsid w:val="00A10A2C"/>
    <w:rsid w:val="00A1455D"/>
    <w:rsid w:val="00A147C7"/>
    <w:rsid w:val="00A153AC"/>
    <w:rsid w:val="00A17304"/>
    <w:rsid w:val="00A1737D"/>
    <w:rsid w:val="00A20E6A"/>
    <w:rsid w:val="00A2150E"/>
    <w:rsid w:val="00A218BF"/>
    <w:rsid w:val="00A223C4"/>
    <w:rsid w:val="00A239E3"/>
    <w:rsid w:val="00A23E40"/>
    <w:rsid w:val="00A24EEE"/>
    <w:rsid w:val="00A253D8"/>
    <w:rsid w:val="00A253FB"/>
    <w:rsid w:val="00A25A85"/>
    <w:rsid w:val="00A26460"/>
    <w:rsid w:val="00A27A46"/>
    <w:rsid w:val="00A27DD3"/>
    <w:rsid w:val="00A30F16"/>
    <w:rsid w:val="00A32110"/>
    <w:rsid w:val="00A33BA4"/>
    <w:rsid w:val="00A37C82"/>
    <w:rsid w:val="00A4027C"/>
    <w:rsid w:val="00A40F3F"/>
    <w:rsid w:val="00A41569"/>
    <w:rsid w:val="00A427F8"/>
    <w:rsid w:val="00A42A6A"/>
    <w:rsid w:val="00A42A90"/>
    <w:rsid w:val="00A43256"/>
    <w:rsid w:val="00A4361E"/>
    <w:rsid w:val="00A440AE"/>
    <w:rsid w:val="00A454D5"/>
    <w:rsid w:val="00A46615"/>
    <w:rsid w:val="00A46A80"/>
    <w:rsid w:val="00A46EB3"/>
    <w:rsid w:val="00A47184"/>
    <w:rsid w:val="00A47846"/>
    <w:rsid w:val="00A50D71"/>
    <w:rsid w:val="00A51A18"/>
    <w:rsid w:val="00A525E8"/>
    <w:rsid w:val="00A53B71"/>
    <w:rsid w:val="00A547EC"/>
    <w:rsid w:val="00A564ED"/>
    <w:rsid w:val="00A56BEC"/>
    <w:rsid w:val="00A570AA"/>
    <w:rsid w:val="00A60220"/>
    <w:rsid w:val="00A61B88"/>
    <w:rsid w:val="00A63908"/>
    <w:rsid w:val="00A63A7D"/>
    <w:rsid w:val="00A65A34"/>
    <w:rsid w:val="00A65D7D"/>
    <w:rsid w:val="00A66B8D"/>
    <w:rsid w:val="00A67050"/>
    <w:rsid w:val="00A671E0"/>
    <w:rsid w:val="00A67EE1"/>
    <w:rsid w:val="00A70A44"/>
    <w:rsid w:val="00A714BE"/>
    <w:rsid w:val="00A72160"/>
    <w:rsid w:val="00A74444"/>
    <w:rsid w:val="00A75133"/>
    <w:rsid w:val="00A7670E"/>
    <w:rsid w:val="00A76776"/>
    <w:rsid w:val="00A76AF9"/>
    <w:rsid w:val="00A77CAA"/>
    <w:rsid w:val="00A805CE"/>
    <w:rsid w:val="00A810D9"/>
    <w:rsid w:val="00A85F9A"/>
    <w:rsid w:val="00A86A02"/>
    <w:rsid w:val="00A86E3D"/>
    <w:rsid w:val="00A9032F"/>
    <w:rsid w:val="00A903FA"/>
    <w:rsid w:val="00A90974"/>
    <w:rsid w:val="00A91555"/>
    <w:rsid w:val="00A94E97"/>
    <w:rsid w:val="00A95D9C"/>
    <w:rsid w:val="00AA0165"/>
    <w:rsid w:val="00AA1268"/>
    <w:rsid w:val="00AA2C09"/>
    <w:rsid w:val="00AA303A"/>
    <w:rsid w:val="00AA32AC"/>
    <w:rsid w:val="00AA3597"/>
    <w:rsid w:val="00AA4E75"/>
    <w:rsid w:val="00AA5BBE"/>
    <w:rsid w:val="00AA601B"/>
    <w:rsid w:val="00AA6083"/>
    <w:rsid w:val="00AA618E"/>
    <w:rsid w:val="00AA7F98"/>
    <w:rsid w:val="00AB19DF"/>
    <w:rsid w:val="00AB2980"/>
    <w:rsid w:val="00AB2CB0"/>
    <w:rsid w:val="00AB2F21"/>
    <w:rsid w:val="00AB36FB"/>
    <w:rsid w:val="00AB44A2"/>
    <w:rsid w:val="00AB4728"/>
    <w:rsid w:val="00AB4759"/>
    <w:rsid w:val="00AB52D2"/>
    <w:rsid w:val="00AB5D88"/>
    <w:rsid w:val="00AB5F9F"/>
    <w:rsid w:val="00AB6672"/>
    <w:rsid w:val="00AB7774"/>
    <w:rsid w:val="00AB7AAC"/>
    <w:rsid w:val="00AB7D20"/>
    <w:rsid w:val="00AC0429"/>
    <w:rsid w:val="00AC0845"/>
    <w:rsid w:val="00AC0F9D"/>
    <w:rsid w:val="00AC21F5"/>
    <w:rsid w:val="00AC2841"/>
    <w:rsid w:val="00AC3CB7"/>
    <w:rsid w:val="00AC446E"/>
    <w:rsid w:val="00AD1211"/>
    <w:rsid w:val="00AD29A3"/>
    <w:rsid w:val="00AD682C"/>
    <w:rsid w:val="00AD7BE0"/>
    <w:rsid w:val="00AE08F1"/>
    <w:rsid w:val="00AE09C5"/>
    <w:rsid w:val="00AE3682"/>
    <w:rsid w:val="00AE438A"/>
    <w:rsid w:val="00AE4436"/>
    <w:rsid w:val="00AE46DF"/>
    <w:rsid w:val="00AE5316"/>
    <w:rsid w:val="00AE69CF"/>
    <w:rsid w:val="00AE6A55"/>
    <w:rsid w:val="00AE75F8"/>
    <w:rsid w:val="00AF15E8"/>
    <w:rsid w:val="00AF17DD"/>
    <w:rsid w:val="00AF2A9E"/>
    <w:rsid w:val="00AF3888"/>
    <w:rsid w:val="00AF440A"/>
    <w:rsid w:val="00AF6BFF"/>
    <w:rsid w:val="00AF7218"/>
    <w:rsid w:val="00B0039D"/>
    <w:rsid w:val="00B00BD5"/>
    <w:rsid w:val="00B00C71"/>
    <w:rsid w:val="00B02713"/>
    <w:rsid w:val="00B034F9"/>
    <w:rsid w:val="00B03DDB"/>
    <w:rsid w:val="00B0536A"/>
    <w:rsid w:val="00B06D67"/>
    <w:rsid w:val="00B06F74"/>
    <w:rsid w:val="00B109FA"/>
    <w:rsid w:val="00B11C0A"/>
    <w:rsid w:val="00B12704"/>
    <w:rsid w:val="00B1370C"/>
    <w:rsid w:val="00B13C0E"/>
    <w:rsid w:val="00B14A6F"/>
    <w:rsid w:val="00B14C46"/>
    <w:rsid w:val="00B14E59"/>
    <w:rsid w:val="00B15884"/>
    <w:rsid w:val="00B16537"/>
    <w:rsid w:val="00B16D43"/>
    <w:rsid w:val="00B1719D"/>
    <w:rsid w:val="00B17302"/>
    <w:rsid w:val="00B178EE"/>
    <w:rsid w:val="00B179FB"/>
    <w:rsid w:val="00B20651"/>
    <w:rsid w:val="00B20D17"/>
    <w:rsid w:val="00B210B6"/>
    <w:rsid w:val="00B21E39"/>
    <w:rsid w:val="00B2318E"/>
    <w:rsid w:val="00B251D6"/>
    <w:rsid w:val="00B25443"/>
    <w:rsid w:val="00B2689F"/>
    <w:rsid w:val="00B26A8B"/>
    <w:rsid w:val="00B27DDC"/>
    <w:rsid w:val="00B30EA8"/>
    <w:rsid w:val="00B31216"/>
    <w:rsid w:val="00B31397"/>
    <w:rsid w:val="00B31474"/>
    <w:rsid w:val="00B3324E"/>
    <w:rsid w:val="00B35225"/>
    <w:rsid w:val="00B35D49"/>
    <w:rsid w:val="00B36988"/>
    <w:rsid w:val="00B370E1"/>
    <w:rsid w:val="00B40577"/>
    <w:rsid w:val="00B406ED"/>
    <w:rsid w:val="00B4114B"/>
    <w:rsid w:val="00B43B14"/>
    <w:rsid w:val="00B43D41"/>
    <w:rsid w:val="00B47C0B"/>
    <w:rsid w:val="00B50466"/>
    <w:rsid w:val="00B518E2"/>
    <w:rsid w:val="00B51C9A"/>
    <w:rsid w:val="00B54A64"/>
    <w:rsid w:val="00B555A5"/>
    <w:rsid w:val="00B557C3"/>
    <w:rsid w:val="00B624F5"/>
    <w:rsid w:val="00B62614"/>
    <w:rsid w:val="00B62F5A"/>
    <w:rsid w:val="00B64D16"/>
    <w:rsid w:val="00B6557E"/>
    <w:rsid w:val="00B65975"/>
    <w:rsid w:val="00B70F52"/>
    <w:rsid w:val="00B71A35"/>
    <w:rsid w:val="00B72399"/>
    <w:rsid w:val="00B73B33"/>
    <w:rsid w:val="00B745BB"/>
    <w:rsid w:val="00B7617E"/>
    <w:rsid w:val="00B76240"/>
    <w:rsid w:val="00B8016E"/>
    <w:rsid w:val="00B80FBB"/>
    <w:rsid w:val="00B811C7"/>
    <w:rsid w:val="00B817D4"/>
    <w:rsid w:val="00B81FAD"/>
    <w:rsid w:val="00B82240"/>
    <w:rsid w:val="00B82D88"/>
    <w:rsid w:val="00B83FF3"/>
    <w:rsid w:val="00B8441E"/>
    <w:rsid w:val="00B84D60"/>
    <w:rsid w:val="00B84DF1"/>
    <w:rsid w:val="00B84EA7"/>
    <w:rsid w:val="00B85203"/>
    <w:rsid w:val="00B85ABB"/>
    <w:rsid w:val="00B85F9C"/>
    <w:rsid w:val="00B86B30"/>
    <w:rsid w:val="00B87164"/>
    <w:rsid w:val="00B87768"/>
    <w:rsid w:val="00B91DDD"/>
    <w:rsid w:val="00B9208D"/>
    <w:rsid w:val="00B92B3C"/>
    <w:rsid w:val="00B92B6C"/>
    <w:rsid w:val="00B92F81"/>
    <w:rsid w:val="00B9372F"/>
    <w:rsid w:val="00B939A1"/>
    <w:rsid w:val="00B93EA6"/>
    <w:rsid w:val="00B9416F"/>
    <w:rsid w:val="00B942A2"/>
    <w:rsid w:val="00B94482"/>
    <w:rsid w:val="00B95364"/>
    <w:rsid w:val="00B969E2"/>
    <w:rsid w:val="00BA18A0"/>
    <w:rsid w:val="00BA24D8"/>
    <w:rsid w:val="00BA31C7"/>
    <w:rsid w:val="00BA3230"/>
    <w:rsid w:val="00BA360C"/>
    <w:rsid w:val="00BA49BC"/>
    <w:rsid w:val="00BA4A4C"/>
    <w:rsid w:val="00BA5F13"/>
    <w:rsid w:val="00BA6E22"/>
    <w:rsid w:val="00BB00BB"/>
    <w:rsid w:val="00BB05AA"/>
    <w:rsid w:val="00BB1926"/>
    <w:rsid w:val="00BB1A27"/>
    <w:rsid w:val="00BB1F13"/>
    <w:rsid w:val="00BB20DF"/>
    <w:rsid w:val="00BB2484"/>
    <w:rsid w:val="00BB2C28"/>
    <w:rsid w:val="00BB47F3"/>
    <w:rsid w:val="00BB5118"/>
    <w:rsid w:val="00BB538A"/>
    <w:rsid w:val="00BB64E4"/>
    <w:rsid w:val="00BB6CEF"/>
    <w:rsid w:val="00BC0946"/>
    <w:rsid w:val="00BC162C"/>
    <w:rsid w:val="00BC2031"/>
    <w:rsid w:val="00BC215E"/>
    <w:rsid w:val="00BC30AA"/>
    <w:rsid w:val="00BC3315"/>
    <w:rsid w:val="00BC3702"/>
    <w:rsid w:val="00BC498F"/>
    <w:rsid w:val="00BC6308"/>
    <w:rsid w:val="00BC6401"/>
    <w:rsid w:val="00BC67AE"/>
    <w:rsid w:val="00BC6E54"/>
    <w:rsid w:val="00BD243B"/>
    <w:rsid w:val="00BD30E9"/>
    <w:rsid w:val="00BD4913"/>
    <w:rsid w:val="00BD49E3"/>
    <w:rsid w:val="00BD4D63"/>
    <w:rsid w:val="00BE00A1"/>
    <w:rsid w:val="00BE06F4"/>
    <w:rsid w:val="00BE0CEE"/>
    <w:rsid w:val="00BE3BA4"/>
    <w:rsid w:val="00BE7CBC"/>
    <w:rsid w:val="00BF066D"/>
    <w:rsid w:val="00BF07C3"/>
    <w:rsid w:val="00BF12BD"/>
    <w:rsid w:val="00BF1B2F"/>
    <w:rsid w:val="00BF1BC8"/>
    <w:rsid w:val="00BF235F"/>
    <w:rsid w:val="00BF37FA"/>
    <w:rsid w:val="00BF4A1D"/>
    <w:rsid w:val="00BF6348"/>
    <w:rsid w:val="00BF63B6"/>
    <w:rsid w:val="00BF6864"/>
    <w:rsid w:val="00BF6A28"/>
    <w:rsid w:val="00BF6AD5"/>
    <w:rsid w:val="00BF6D33"/>
    <w:rsid w:val="00BF7776"/>
    <w:rsid w:val="00C00DB2"/>
    <w:rsid w:val="00C034E1"/>
    <w:rsid w:val="00C03CB5"/>
    <w:rsid w:val="00C04225"/>
    <w:rsid w:val="00C0610E"/>
    <w:rsid w:val="00C0644C"/>
    <w:rsid w:val="00C06B41"/>
    <w:rsid w:val="00C07D4F"/>
    <w:rsid w:val="00C10874"/>
    <w:rsid w:val="00C11745"/>
    <w:rsid w:val="00C11848"/>
    <w:rsid w:val="00C11C79"/>
    <w:rsid w:val="00C126AA"/>
    <w:rsid w:val="00C12996"/>
    <w:rsid w:val="00C1302C"/>
    <w:rsid w:val="00C140E7"/>
    <w:rsid w:val="00C14D58"/>
    <w:rsid w:val="00C152CF"/>
    <w:rsid w:val="00C20C00"/>
    <w:rsid w:val="00C217A9"/>
    <w:rsid w:val="00C23BEE"/>
    <w:rsid w:val="00C24511"/>
    <w:rsid w:val="00C249A6"/>
    <w:rsid w:val="00C25B60"/>
    <w:rsid w:val="00C26271"/>
    <w:rsid w:val="00C31DEE"/>
    <w:rsid w:val="00C321A1"/>
    <w:rsid w:val="00C326F3"/>
    <w:rsid w:val="00C330C5"/>
    <w:rsid w:val="00C35447"/>
    <w:rsid w:val="00C35712"/>
    <w:rsid w:val="00C41E8A"/>
    <w:rsid w:val="00C42D58"/>
    <w:rsid w:val="00C4459A"/>
    <w:rsid w:val="00C4485B"/>
    <w:rsid w:val="00C455AF"/>
    <w:rsid w:val="00C45E94"/>
    <w:rsid w:val="00C462D6"/>
    <w:rsid w:val="00C476C8"/>
    <w:rsid w:val="00C47AF9"/>
    <w:rsid w:val="00C50517"/>
    <w:rsid w:val="00C5132A"/>
    <w:rsid w:val="00C53BC9"/>
    <w:rsid w:val="00C54241"/>
    <w:rsid w:val="00C56643"/>
    <w:rsid w:val="00C566A7"/>
    <w:rsid w:val="00C56BD4"/>
    <w:rsid w:val="00C618A6"/>
    <w:rsid w:val="00C62972"/>
    <w:rsid w:val="00C62F53"/>
    <w:rsid w:val="00C63534"/>
    <w:rsid w:val="00C64B54"/>
    <w:rsid w:val="00C64C1A"/>
    <w:rsid w:val="00C652BF"/>
    <w:rsid w:val="00C662B4"/>
    <w:rsid w:val="00C70237"/>
    <w:rsid w:val="00C70384"/>
    <w:rsid w:val="00C72EC7"/>
    <w:rsid w:val="00C73A77"/>
    <w:rsid w:val="00C73AF6"/>
    <w:rsid w:val="00C73B49"/>
    <w:rsid w:val="00C73BE3"/>
    <w:rsid w:val="00C73F16"/>
    <w:rsid w:val="00C742E6"/>
    <w:rsid w:val="00C74DE1"/>
    <w:rsid w:val="00C75179"/>
    <w:rsid w:val="00C754D1"/>
    <w:rsid w:val="00C775F1"/>
    <w:rsid w:val="00C77C0C"/>
    <w:rsid w:val="00C8054B"/>
    <w:rsid w:val="00C82025"/>
    <w:rsid w:val="00C8213A"/>
    <w:rsid w:val="00C823A4"/>
    <w:rsid w:val="00C8371B"/>
    <w:rsid w:val="00C84295"/>
    <w:rsid w:val="00C863C4"/>
    <w:rsid w:val="00C90471"/>
    <w:rsid w:val="00C90C92"/>
    <w:rsid w:val="00C91626"/>
    <w:rsid w:val="00C91F7B"/>
    <w:rsid w:val="00C92A76"/>
    <w:rsid w:val="00C92D69"/>
    <w:rsid w:val="00C94623"/>
    <w:rsid w:val="00C94E0E"/>
    <w:rsid w:val="00C95633"/>
    <w:rsid w:val="00C957ED"/>
    <w:rsid w:val="00C9582E"/>
    <w:rsid w:val="00C95891"/>
    <w:rsid w:val="00C96EA5"/>
    <w:rsid w:val="00C9777A"/>
    <w:rsid w:val="00C97F05"/>
    <w:rsid w:val="00C97FC4"/>
    <w:rsid w:val="00CA2C64"/>
    <w:rsid w:val="00CA2DA6"/>
    <w:rsid w:val="00CA474B"/>
    <w:rsid w:val="00CA5AB0"/>
    <w:rsid w:val="00CA6FC4"/>
    <w:rsid w:val="00CA728D"/>
    <w:rsid w:val="00CB006A"/>
    <w:rsid w:val="00CB0541"/>
    <w:rsid w:val="00CB0794"/>
    <w:rsid w:val="00CB265A"/>
    <w:rsid w:val="00CB4171"/>
    <w:rsid w:val="00CB41CE"/>
    <w:rsid w:val="00CB498B"/>
    <w:rsid w:val="00CB49B5"/>
    <w:rsid w:val="00CB4F0A"/>
    <w:rsid w:val="00CB5445"/>
    <w:rsid w:val="00CB5811"/>
    <w:rsid w:val="00CB5BFE"/>
    <w:rsid w:val="00CB5C7D"/>
    <w:rsid w:val="00CB60AC"/>
    <w:rsid w:val="00CB62BC"/>
    <w:rsid w:val="00CB698F"/>
    <w:rsid w:val="00CC00EE"/>
    <w:rsid w:val="00CC0D50"/>
    <w:rsid w:val="00CC2592"/>
    <w:rsid w:val="00CC30B1"/>
    <w:rsid w:val="00CC38AD"/>
    <w:rsid w:val="00CC6F4C"/>
    <w:rsid w:val="00CC74C1"/>
    <w:rsid w:val="00CD01B1"/>
    <w:rsid w:val="00CD0BD0"/>
    <w:rsid w:val="00CD1E37"/>
    <w:rsid w:val="00CD212F"/>
    <w:rsid w:val="00CD2546"/>
    <w:rsid w:val="00CD2837"/>
    <w:rsid w:val="00CD7619"/>
    <w:rsid w:val="00CD7D48"/>
    <w:rsid w:val="00CE08E7"/>
    <w:rsid w:val="00CE1A1C"/>
    <w:rsid w:val="00CE1FA3"/>
    <w:rsid w:val="00CE44B3"/>
    <w:rsid w:val="00CE63B1"/>
    <w:rsid w:val="00CE65B5"/>
    <w:rsid w:val="00CE7CC4"/>
    <w:rsid w:val="00CE7ED3"/>
    <w:rsid w:val="00CF2FCB"/>
    <w:rsid w:val="00CF3B85"/>
    <w:rsid w:val="00CF42EE"/>
    <w:rsid w:val="00CF4708"/>
    <w:rsid w:val="00D003D7"/>
    <w:rsid w:val="00D0155A"/>
    <w:rsid w:val="00D0174D"/>
    <w:rsid w:val="00D01A95"/>
    <w:rsid w:val="00D020B4"/>
    <w:rsid w:val="00D04373"/>
    <w:rsid w:val="00D04623"/>
    <w:rsid w:val="00D047B4"/>
    <w:rsid w:val="00D04A3B"/>
    <w:rsid w:val="00D052C3"/>
    <w:rsid w:val="00D05507"/>
    <w:rsid w:val="00D05644"/>
    <w:rsid w:val="00D06E0C"/>
    <w:rsid w:val="00D103FA"/>
    <w:rsid w:val="00D10844"/>
    <w:rsid w:val="00D112F1"/>
    <w:rsid w:val="00D11914"/>
    <w:rsid w:val="00D11F9C"/>
    <w:rsid w:val="00D121B5"/>
    <w:rsid w:val="00D144C4"/>
    <w:rsid w:val="00D14A20"/>
    <w:rsid w:val="00D16730"/>
    <w:rsid w:val="00D1738C"/>
    <w:rsid w:val="00D215C6"/>
    <w:rsid w:val="00D21BE6"/>
    <w:rsid w:val="00D229BD"/>
    <w:rsid w:val="00D24569"/>
    <w:rsid w:val="00D24BAF"/>
    <w:rsid w:val="00D25255"/>
    <w:rsid w:val="00D255FB"/>
    <w:rsid w:val="00D25A4A"/>
    <w:rsid w:val="00D26421"/>
    <w:rsid w:val="00D30414"/>
    <w:rsid w:val="00D3055A"/>
    <w:rsid w:val="00D31461"/>
    <w:rsid w:val="00D3205E"/>
    <w:rsid w:val="00D32372"/>
    <w:rsid w:val="00D3238D"/>
    <w:rsid w:val="00D32EFB"/>
    <w:rsid w:val="00D32F63"/>
    <w:rsid w:val="00D330B1"/>
    <w:rsid w:val="00D3385E"/>
    <w:rsid w:val="00D34065"/>
    <w:rsid w:val="00D342BB"/>
    <w:rsid w:val="00D3488B"/>
    <w:rsid w:val="00D34A70"/>
    <w:rsid w:val="00D3574D"/>
    <w:rsid w:val="00D379F0"/>
    <w:rsid w:val="00D40645"/>
    <w:rsid w:val="00D4191C"/>
    <w:rsid w:val="00D41AF0"/>
    <w:rsid w:val="00D41D1E"/>
    <w:rsid w:val="00D41F7A"/>
    <w:rsid w:val="00D43431"/>
    <w:rsid w:val="00D43E2E"/>
    <w:rsid w:val="00D4416F"/>
    <w:rsid w:val="00D44A16"/>
    <w:rsid w:val="00D44B76"/>
    <w:rsid w:val="00D44CD9"/>
    <w:rsid w:val="00D45C7A"/>
    <w:rsid w:val="00D45FD4"/>
    <w:rsid w:val="00D47DF4"/>
    <w:rsid w:val="00D51A31"/>
    <w:rsid w:val="00D51CB5"/>
    <w:rsid w:val="00D522CA"/>
    <w:rsid w:val="00D52557"/>
    <w:rsid w:val="00D53063"/>
    <w:rsid w:val="00D5373B"/>
    <w:rsid w:val="00D53858"/>
    <w:rsid w:val="00D54318"/>
    <w:rsid w:val="00D54DE1"/>
    <w:rsid w:val="00D61AFC"/>
    <w:rsid w:val="00D6259A"/>
    <w:rsid w:val="00D63FB4"/>
    <w:rsid w:val="00D64398"/>
    <w:rsid w:val="00D6458E"/>
    <w:rsid w:val="00D657BB"/>
    <w:rsid w:val="00D67787"/>
    <w:rsid w:val="00D72B2B"/>
    <w:rsid w:val="00D74A98"/>
    <w:rsid w:val="00D75249"/>
    <w:rsid w:val="00D75F0B"/>
    <w:rsid w:val="00D768D3"/>
    <w:rsid w:val="00D81DC2"/>
    <w:rsid w:val="00D8227B"/>
    <w:rsid w:val="00D8268F"/>
    <w:rsid w:val="00D82C9C"/>
    <w:rsid w:val="00D82FB7"/>
    <w:rsid w:val="00D83211"/>
    <w:rsid w:val="00D8458F"/>
    <w:rsid w:val="00D845CF"/>
    <w:rsid w:val="00D85760"/>
    <w:rsid w:val="00D8613C"/>
    <w:rsid w:val="00D86AD2"/>
    <w:rsid w:val="00D87EED"/>
    <w:rsid w:val="00D910C6"/>
    <w:rsid w:val="00D911FB"/>
    <w:rsid w:val="00D94908"/>
    <w:rsid w:val="00D951D3"/>
    <w:rsid w:val="00D95711"/>
    <w:rsid w:val="00D96C19"/>
    <w:rsid w:val="00D96C92"/>
    <w:rsid w:val="00DA0AD6"/>
    <w:rsid w:val="00DA2058"/>
    <w:rsid w:val="00DA23E5"/>
    <w:rsid w:val="00DA465A"/>
    <w:rsid w:val="00DA493E"/>
    <w:rsid w:val="00DA5B5D"/>
    <w:rsid w:val="00DA61CC"/>
    <w:rsid w:val="00DB052C"/>
    <w:rsid w:val="00DB052E"/>
    <w:rsid w:val="00DB2ABD"/>
    <w:rsid w:val="00DB2FC6"/>
    <w:rsid w:val="00DB3102"/>
    <w:rsid w:val="00DB4588"/>
    <w:rsid w:val="00DB4836"/>
    <w:rsid w:val="00DB723C"/>
    <w:rsid w:val="00DB77AF"/>
    <w:rsid w:val="00DC07AD"/>
    <w:rsid w:val="00DC0DFF"/>
    <w:rsid w:val="00DC1AAE"/>
    <w:rsid w:val="00DC2C2F"/>
    <w:rsid w:val="00DC3482"/>
    <w:rsid w:val="00DC485F"/>
    <w:rsid w:val="00DC5419"/>
    <w:rsid w:val="00DC5642"/>
    <w:rsid w:val="00DC68C5"/>
    <w:rsid w:val="00DD13BD"/>
    <w:rsid w:val="00DD27CC"/>
    <w:rsid w:val="00DD3672"/>
    <w:rsid w:val="00DD4BC6"/>
    <w:rsid w:val="00DD598F"/>
    <w:rsid w:val="00DD6D2C"/>
    <w:rsid w:val="00DD7347"/>
    <w:rsid w:val="00DD7F84"/>
    <w:rsid w:val="00DE21CE"/>
    <w:rsid w:val="00DE2EBC"/>
    <w:rsid w:val="00DE403C"/>
    <w:rsid w:val="00DE548F"/>
    <w:rsid w:val="00DE6B4C"/>
    <w:rsid w:val="00DE729F"/>
    <w:rsid w:val="00DE7E0F"/>
    <w:rsid w:val="00DF04E9"/>
    <w:rsid w:val="00DF0DCA"/>
    <w:rsid w:val="00DF4C6C"/>
    <w:rsid w:val="00DF4D1A"/>
    <w:rsid w:val="00DF563E"/>
    <w:rsid w:val="00DF5FFD"/>
    <w:rsid w:val="00DF642C"/>
    <w:rsid w:val="00DF6ACA"/>
    <w:rsid w:val="00DF7474"/>
    <w:rsid w:val="00E016FC"/>
    <w:rsid w:val="00E01A98"/>
    <w:rsid w:val="00E01F4B"/>
    <w:rsid w:val="00E04328"/>
    <w:rsid w:val="00E0465E"/>
    <w:rsid w:val="00E057EC"/>
    <w:rsid w:val="00E05AD0"/>
    <w:rsid w:val="00E0709D"/>
    <w:rsid w:val="00E072C3"/>
    <w:rsid w:val="00E07A40"/>
    <w:rsid w:val="00E11703"/>
    <w:rsid w:val="00E12754"/>
    <w:rsid w:val="00E13713"/>
    <w:rsid w:val="00E137DC"/>
    <w:rsid w:val="00E13CD7"/>
    <w:rsid w:val="00E14EA7"/>
    <w:rsid w:val="00E158C3"/>
    <w:rsid w:val="00E15901"/>
    <w:rsid w:val="00E15E93"/>
    <w:rsid w:val="00E17692"/>
    <w:rsid w:val="00E209E1"/>
    <w:rsid w:val="00E2122D"/>
    <w:rsid w:val="00E21C45"/>
    <w:rsid w:val="00E22EF3"/>
    <w:rsid w:val="00E23FC9"/>
    <w:rsid w:val="00E263A8"/>
    <w:rsid w:val="00E2652B"/>
    <w:rsid w:val="00E2662A"/>
    <w:rsid w:val="00E267EC"/>
    <w:rsid w:val="00E26F46"/>
    <w:rsid w:val="00E26F48"/>
    <w:rsid w:val="00E30087"/>
    <w:rsid w:val="00E303FB"/>
    <w:rsid w:val="00E31701"/>
    <w:rsid w:val="00E3196F"/>
    <w:rsid w:val="00E357DA"/>
    <w:rsid w:val="00E3735E"/>
    <w:rsid w:val="00E37595"/>
    <w:rsid w:val="00E378E7"/>
    <w:rsid w:val="00E379A0"/>
    <w:rsid w:val="00E412C1"/>
    <w:rsid w:val="00E44255"/>
    <w:rsid w:val="00E446FF"/>
    <w:rsid w:val="00E45AB2"/>
    <w:rsid w:val="00E46025"/>
    <w:rsid w:val="00E465EA"/>
    <w:rsid w:val="00E47EE0"/>
    <w:rsid w:val="00E5108E"/>
    <w:rsid w:val="00E52750"/>
    <w:rsid w:val="00E5293C"/>
    <w:rsid w:val="00E5477C"/>
    <w:rsid w:val="00E558C7"/>
    <w:rsid w:val="00E57847"/>
    <w:rsid w:val="00E605D4"/>
    <w:rsid w:val="00E60F40"/>
    <w:rsid w:val="00E6136A"/>
    <w:rsid w:val="00E61EEB"/>
    <w:rsid w:val="00E620ED"/>
    <w:rsid w:val="00E6219C"/>
    <w:rsid w:val="00E6248C"/>
    <w:rsid w:val="00E629BF"/>
    <w:rsid w:val="00E65FF1"/>
    <w:rsid w:val="00E6693F"/>
    <w:rsid w:val="00E70045"/>
    <w:rsid w:val="00E71B51"/>
    <w:rsid w:val="00E72F1A"/>
    <w:rsid w:val="00E74B7E"/>
    <w:rsid w:val="00E74D88"/>
    <w:rsid w:val="00E76497"/>
    <w:rsid w:val="00E77E30"/>
    <w:rsid w:val="00E803BC"/>
    <w:rsid w:val="00E803E6"/>
    <w:rsid w:val="00E80506"/>
    <w:rsid w:val="00E811A0"/>
    <w:rsid w:val="00E8179A"/>
    <w:rsid w:val="00E81BB2"/>
    <w:rsid w:val="00E82B84"/>
    <w:rsid w:val="00E82C05"/>
    <w:rsid w:val="00E84D9D"/>
    <w:rsid w:val="00E84E59"/>
    <w:rsid w:val="00E850D9"/>
    <w:rsid w:val="00E853D9"/>
    <w:rsid w:val="00E911EC"/>
    <w:rsid w:val="00E9258C"/>
    <w:rsid w:val="00E928D2"/>
    <w:rsid w:val="00E93C9C"/>
    <w:rsid w:val="00E93D87"/>
    <w:rsid w:val="00E95368"/>
    <w:rsid w:val="00E96532"/>
    <w:rsid w:val="00E97189"/>
    <w:rsid w:val="00E97CA5"/>
    <w:rsid w:val="00EA084E"/>
    <w:rsid w:val="00EA2627"/>
    <w:rsid w:val="00EA4BEB"/>
    <w:rsid w:val="00EB0271"/>
    <w:rsid w:val="00EB1F8A"/>
    <w:rsid w:val="00EB33E0"/>
    <w:rsid w:val="00EB38CE"/>
    <w:rsid w:val="00EB3E59"/>
    <w:rsid w:val="00EB412C"/>
    <w:rsid w:val="00EB4EBD"/>
    <w:rsid w:val="00EB5074"/>
    <w:rsid w:val="00EB5B46"/>
    <w:rsid w:val="00EB5D11"/>
    <w:rsid w:val="00EC0703"/>
    <w:rsid w:val="00EC0957"/>
    <w:rsid w:val="00EC1452"/>
    <w:rsid w:val="00EC2C2A"/>
    <w:rsid w:val="00EC345D"/>
    <w:rsid w:val="00EC49F6"/>
    <w:rsid w:val="00EC4B78"/>
    <w:rsid w:val="00EC4DF5"/>
    <w:rsid w:val="00EC5967"/>
    <w:rsid w:val="00EC6415"/>
    <w:rsid w:val="00ED0FD2"/>
    <w:rsid w:val="00ED3F73"/>
    <w:rsid w:val="00ED5C92"/>
    <w:rsid w:val="00ED5CE9"/>
    <w:rsid w:val="00ED5E81"/>
    <w:rsid w:val="00ED6241"/>
    <w:rsid w:val="00ED683A"/>
    <w:rsid w:val="00ED7F1C"/>
    <w:rsid w:val="00EE0028"/>
    <w:rsid w:val="00EE0D18"/>
    <w:rsid w:val="00EE114A"/>
    <w:rsid w:val="00EE2EBB"/>
    <w:rsid w:val="00EE3008"/>
    <w:rsid w:val="00EE3CE5"/>
    <w:rsid w:val="00EE54B5"/>
    <w:rsid w:val="00EE5C49"/>
    <w:rsid w:val="00EE5E68"/>
    <w:rsid w:val="00EE6730"/>
    <w:rsid w:val="00EE69CA"/>
    <w:rsid w:val="00EE772D"/>
    <w:rsid w:val="00EE7A2A"/>
    <w:rsid w:val="00EF0702"/>
    <w:rsid w:val="00EF1A60"/>
    <w:rsid w:val="00EF333D"/>
    <w:rsid w:val="00EF37D3"/>
    <w:rsid w:val="00EF4F97"/>
    <w:rsid w:val="00EF62EE"/>
    <w:rsid w:val="00F0092E"/>
    <w:rsid w:val="00F00AB3"/>
    <w:rsid w:val="00F00DCD"/>
    <w:rsid w:val="00F01E8C"/>
    <w:rsid w:val="00F03B15"/>
    <w:rsid w:val="00F05B4E"/>
    <w:rsid w:val="00F05FAD"/>
    <w:rsid w:val="00F067CC"/>
    <w:rsid w:val="00F06DE5"/>
    <w:rsid w:val="00F07C5E"/>
    <w:rsid w:val="00F07D3D"/>
    <w:rsid w:val="00F11375"/>
    <w:rsid w:val="00F12F1D"/>
    <w:rsid w:val="00F133D6"/>
    <w:rsid w:val="00F13E28"/>
    <w:rsid w:val="00F14180"/>
    <w:rsid w:val="00F155A9"/>
    <w:rsid w:val="00F159E0"/>
    <w:rsid w:val="00F17470"/>
    <w:rsid w:val="00F1763F"/>
    <w:rsid w:val="00F20553"/>
    <w:rsid w:val="00F21BBA"/>
    <w:rsid w:val="00F23E0E"/>
    <w:rsid w:val="00F26297"/>
    <w:rsid w:val="00F274A9"/>
    <w:rsid w:val="00F274D6"/>
    <w:rsid w:val="00F275A4"/>
    <w:rsid w:val="00F27B89"/>
    <w:rsid w:val="00F32213"/>
    <w:rsid w:val="00F3275E"/>
    <w:rsid w:val="00F32931"/>
    <w:rsid w:val="00F33D69"/>
    <w:rsid w:val="00F35008"/>
    <w:rsid w:val="00F3540A"/>
    <w:rsid w:val="00F3582B"/>
    <w:rsid w:val="00F362F7"/>
    <w:rsid w:val="00F36902"/>
    <w:rsid w:val="00F378FC"/>
    <w:rsid w:val="00F4024F"/>
    <w:rsid w:val="00F40BCB"/>
    <w:rsid w:val="00F4177E"/>
    <w:rsid w:val="00F41FD4"/>
    <w:rsid w:val="00F42A1A"/>
    <w:rsid w:val="00F42B63"/>
    <w:rsid w:val="00F43232"/>
    <w:rsid w:val="00F4378A"/>
    <w:rsid w:val="00F477C7"/>
    <w:rsid w:val="00F50320"/>
    <w:rsid w:val="00F505EC"/>
    <w:rsid w:val="00F55A41"/>
    <w:rsid w:val="00F562A9"/>
    <w:rsid w:val="00F57673"/>
    <w:rsid w:val="00F57A74"/>
    <w:rsid w:val="00F6162E"/>
    <w:rsid w:val="00F620DA"/>
    <w:rsid w:val="00F62B54"/>
    <w:rsid w:val="00F62BEA"/>
    <w:rsid w:val="00F641F3"/>
    <w:rsid w:val="00F64D80"/>
    <w:rsid w:val="00F64FDB"/>
    <w:rsid w:val="00F655D9"/>
    <w:rsid w:val="00F65821"/>
    <w:rsid w:val="00F6627B"/>
    <w:rsid w:val="00F673DB"/>
    <w:rsid w:val="00F67644"/>
    <w:rsid w:val="00F67D1B"/>
    <w:rsid w:val="00F702B8"/>
    <w:rsid w:val="00F7068C"/>
    <w:rsid w:val="00F726DC"/>
    <w:rsid w:val="00F729EF"/>
    <w:rsid w:val="00F730F4"/>
    <w:rsid w:val="00F73518"/>
    <w:rsid w:val="00F741AD"/>
    <w:rsid w:val="00F7498F"/>
    <w:rsid w:val="00F75E80"/>
    <w:rsid w:val="00F75F1F"/>
    <w:rsid w:val="00F7644D"/>
    <w:rsid w:val="00F76D43"/>
    <w:rsid w:val="00F81114"/>
    <w:rsid w:val="00F81313"/>
    <w:rsid w:val="00F81443"/>
    <w:rsid w:val="00F820E4"/>
    <w:rsid w:val="00F842DC"/>
    <w:rsid w:val="00F84390"/>
    <w:rsid w:val="00F86769"/>
    <w:rsid w:val="00F90091"/>
    <w:rsid w:val="00F94114"/>
    <w:rsid w:val="00F941A1"/>
    <w:rsid w:val="00F94308"/>
    <w:rsid w:val="00F95450"/>
    <w:rsid w:val="00F96308"/>
    <w:rsid w:val="00FA4A37"/>
    <w:rsid w:val="00FA75D4"/>
    <w:rsid w:val="00FA7D36"/>
    <w:rsid w:val="00FB0CC9"/>
    <w:rsid w:val="00FB198E"/>
    <w:rsid w:val="00FB384B"/>
    <w:rsid w:val="00FB4198"/>
    <w:rsid w:val="00FB544E"/>
    <w:rsid w:val="00FB65C3"/>
    <w:rsid w:val="00FC0CA5"/>
    <w:rsid w:val="00FC136D"/>
    <w:rsid w:val="00FC1F2A"/>
    <w:rsid w:val="00FC2134"/>
    <w:rsid w:val="00FC2666"/>
    <w:rsid w:val="00FC3E53"/>
    <w:rsid w:val="00FC3FA4"/>
    <w:rsid w:val="00FC5408"/>
    <w:rsid w:val="00FC57AE"/>
    <w:rsid w:val="00FC70A3"/>
    <w:rsid w:val="00FD2AD1"/>
    <w:rsid w:val="00FD3068"/>
    <w:rsid w:val="00FD4852"/>
    <w:rsid w:val="00FD543B"/>
    <w:rsid w:val="00FD5785"/>
    <w:rsid w:val="00FD61A3"/>
    <w:rsid w:val="00FD6B2A"/>
    <w:rsid w:val="00FD6EFE"/>
    <w:rsid w:val="00FE0B3D"/>
    <w:rsid w:val="00FE0F8B"/>
    <w:rsid w:val="00FE1506"/>
    <w:rsid w:val="00FE156B"/>
    <w:rsid w:val="00FE2B55"/>
    <w:rsid w:val="00FE2EDC"/>
    <w:rsid w:val="00FE3F48"/>
    <w:rsid w:val="00FE526A"/>
    <w:rsid w:val="00FE5280"/>
    <w:rsid w:val="00FE5899"/>
    <w:rsid w:val="00FE6313"/>
    <w:rsid w:val="00FE6364"/>
    <w:rsid w:val="00FE7138"/>
    <w:rsid w:val="00FF03FA"/>
    <w:rsid w:val="00FF0999"/>
    <w:rsid w:val="00FF0B22"/>
    <w:rsid w:val="00FF0F14"/>
    <w:rsid w:val="00FF1D65"/>
    <w:rsid w:val="00FF224A"/>
    <w:rsid w:val="00FF3A0C"/>
    <w:rsid w:val="00FF3B42"/>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6"/>
    <o:shapelayout v:ext="edit">
      <o:idmap v:ext="edit" data="1"/>
    </o:shapelayout>
  </w:shapeDefaults>
  <w:decimalSymbol w:val=","/>
  <w:listSeparator w:val=";"/>
  <w14:docId w14:val="6F8A410E"/>
  <w15:docId w15:val="{E94887AF-D57F-45DD-AC11-90278ECD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703"/>
    <w:rPr>
      <w:sz w:val="24"/>
      <w:szCs w:val="24"/>
      <w:lang w:val="es-ES" w:eastAsia="es-ES"/>
    </w:rPr>
  </w:style>
  <w:style w:type="paragraph" w:styleId="Ttulo1">
    <w:name w:val="heading 1"/>
    <w:basedOn w:val="Normal"/>
    <w:next w:val="Normal"/>
    <w:link w:val="Ttulo1Car"/>
    <w:uiPriority w:val="99"/>
    <w:qFormat/>
    <w:rsid w:val="00371929"/>
    <w:pPr>
      <w:keepNext/>
      <w:numPr>
        <w:numId w:val="34"/>
      </w:numPr>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71929"/>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71929"/>
    <w:rPr>
      <w:rFonts w:ascii="Arial" w:hAnsi="Arial"/>
      <w:b/>
      <w:kern w:val="32"/>
      <w:sz w:val="32"/>
      <w:lang w:val="es-ES" w:eastAsia="es-ES"/>
    </w:rPr>
  </w:style>
  <w:style w:type="character" w:customStyle="1" w:styleId="Ttulo2Car">
    <w:name w:val="Título 2 Car"/>
    <w:basedOn w:val="Fuentedeprrafopredeter"/>
    <w:link w:val="Ttulo2"/>
    <w:uiPriority w:val="9"/>
    <w:semiHidden/>
    <w:rsid w:val="001F021E"/>
    <w:rPr>
      <w:rFonts w:asciiTheme="majorHAnsi" w:eastAsiaTheme="majorEastAsia" w:hAnsiTheme="majorHAnsi" w:cstheme="majorBidi"/>
      <w:b/>
      <w:bCs/>
      <w:i/>
      <w:iCs/>
      <w:sz w:val="28"/>
      <w:szCs w:val="28"/>
      <w:lang w:val="es-ES" w:eastAsia="es-ES"/>
    </w:rPr>
  </w:style>
  <w:style w:type="paragraph" w:styleId="Encabezado">
    <w:name w:val="header"/>
    <w:basedOn w:val="Normal"/>
    <w:link w:val="EncabezadoCar"/>
    <w:uiPriority w:val="99"/>
    <w:rsid w:val="00EC0703"/>
    <w:pPr>
      <w:tabs>
        <w:tab w:val="center" w:pos="4252"/>
        <w:tab w:val="right" w:pos="8504"/>
      </w:tabs>
    </w:pPr>
  </w:style>
  <w:style w:type="character" w:customStyle="1" w:styleId="EncabezadoCar">
    <w:name w:val="Encabezado Car"/>
    <w:basedOn w:val="Fuentedeprrafopredeter"/>
    <w:link w:val="Encabezado"/>
    <w:uiPriority w:val="99"/>
    <w:locked/>
    <w:rsid w:val="00763342"/>
    <w:rPr>
      <w:sz w:val="24"/>
      <w:lang w:val="es-ES" w:eastAsia="es-ES"/>
    </w:rPr>
  </w:style>
  <w:style w:type="paragraph" w:styleId="Piedepgina">
    <w:name w:val="footer"/>
    <w:basedOn w:val="Normal"/>
    <w:link w:val="PiedepginaCar"/>
    <w:uiPriority w:val="99"/>
    <w:rsid w:val="00EC0703"/>
    <w:pPr>
      <w:tabs>
        <w:tab w:val="center" w:pos="4252"/>
        <w:tab w:val="right" w:pos="8504"/>
      </w:tabs>
    </w:pPr>
  </w:style>
  <w:style w:type="character" w:customStyle="1" w:styleId="PiedepginaCar">
    <w:name w:val="Pie de página Car"/>
    <w:basedOn w:val="Fuentedeprrafopredeter"/>
    <w:link w:val="Piedepgina"/>
    <w:uiPriority w:val="99"/>
    <w:locked/>
    <w:rsid w:val="00460E04"/>
    <w:rPr>
      <w:sz w:val="24"/>
      <w:lang w:val="es-ES" w:eastAsia="es-ES"/>
    </w:rPr>
  </w:style>
  <w:style w:type="paragraph" w:styleId="Textonotapie">
    <w:name w:val="footnote text"/>
    <w:basedOn w:val="Normal"/>
    <w:link w:val="TextonotapieCar"/>
    <w:semiHidden/>
    <w:rsid w:val="00281CE8"/>
    <w:rPr>
      <w:sz w:val="20"/>
      <w:szCs w:val="20"/>
    </w:rPr>
  </w:style>
  <w:style w:type="character" w:customStyle="1" w:styleId="TextonotapieCar">
    <w:name w:val="Texto nota pie Car"/>
    <w:basedOn w:val="Fuentedeprrafopredeter"/>
    <w:link w:val="Textonotapie"/>
    <w:semiHidden/>
    <w:locked/>
    <w:rsid w:val="007A26BC"/>
    <w:rPr>
      <w:rFonts w:cs="Times New Roman"/>
      <w:lang w:val="es-ES" w:eastAsia="es-ES"/>
    </w:rPr>
  </w:style>
  <w:style w:type="character" w:styleId="Refdenotaalpie">
    <w:name w:val="footnote reference"/>
    <w:basedOn w:val="Fuentedeprrafopredeter"/>
    <w:semiHidden/>
    <w:rsid w:val="00281CE8"/>
    <w:rPr>
      <w:rFonts w:cs="Times New Roman"/>
      <w:vertAlign w:val="superscript"/>
    </w:rPr>
  </w:style>
  <w:style w:type="character" w:styleId="Nmerodepgina">
    <w:name w:val="page number"/>
    <w:basedOn w:val="Fuentedeprrafopredeter"/>
    <w:uiPriority w:val="99"/>
    <w:rsid w:val="006A33AF"/>
    <w:rPr>
      <w:rFonts w:cs="Times New Roman"/>
    </w:rPr>
  </w:style>
  <w:style w:type="paragraph" w:styleId="Textodeglobo">
    <w:name w:val="Balloon Text"/>
    <w:basedOn w:val="Normal"/>
    <w:link w:val="TextodegloboCar"/>
    <w:uiPriority w:val="99"/>
    <w:semiHidden/>
    <w:rsid w:val="006A33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21E"/>
    <w:rPr>
      <w:sz w:val="0"/>
      <w:szCs w:val="0"/>
      <w:lang w:val="es-ES" w:eastAsia="es-ES"/>
    </w:rPr>
  </w:style>
  <w:style w:type="paragraph" w:styleId="TDC1">
    <w:name w:val="toc 1"/>
    <w:basedOn w:val="Normal"/>
    <w:next w:val="Normal"/>
    <w:link w:val="TDC1Car"/>
    <w:autoRedefine/>
    <w:uiPriority w:val="39"/>
    <w:rsid w:val="00E6136A"/>
    <w:pPr>
      <w:keepNext/>
      <w:keepLines/>
      <w:tabs>
        <w:tab w:val="left" w:pos="960"/>
        <w:tab w:val="right" w:pos="1200"/>
        <w:tab w:val="right" w:leader="dot" w:pos="8789"/>
      </w:tabs>
      <w:spacing w:before="120"/>
      <w:ind w:left="240"/>
    </w:pPr>
    <w:rPr>
      <w:rFonts w:ascii="Calibri" w:hAnsi="Calibri"/>
      <w:b/>
      <w:bCs/>
      <w:caps/>
      <w:color w:val="5F5F5F"/>
      <w:sz w:val="32"/>
    </w:rPr>
  </w:style>
  <w:style w:type="paragraph" w:styleId="TDC2">
    <w:name w:val="toc 2"/>
    <w:basedOn w:val="Normal"/>
    <w:next w:val="Normal"/>
    <w:autoRedefine/>
    <w:uiPriority w:val="99"/>
    <w:rsid w:val="009C7105"/>
    <w:pPr>
      <w:spacing w:before="240"/>
    </w:pPr>
    <w:rPr>
      <w:rFonts w:ascii="Calibri" w:hAnsi="Calibri" w:cs="Calibri"/>
      <w:b/>
      <w:bCs/>
      <w:color w:val="5F5F5F"/>
      <w:sz w:val="28"/>
      <w:szCs w:val="20"/>
    </w:rPr>
  </w:style>
  <w:style w:type="paragraph" w:styleId="TDC3">
    <w:name w:val="toc 3"/>
    <w:basedOn w:val="Normal"/>
    <w:next w:val="Normal"/>
    <w:autoRedefine/>
    <w:uiPriority w:val="39"/>
    <w:rsid w:val="004E2D93"/>
    <w:pPr>
      <w:keepNext/>
      <w:tabs>
        <w:tab w:val="right" w:pos="284"/>
        <w:tab w:val="right" w:leader="dot" w:pos="8789"/>
      </w:tabs>
      <w:suppressAutoHyphens/>
      <w:spacing w:before="120"/>
      <w:ind w:left="567"/>
      <w:outlineLvl w:val="2"/>
    </w:pPr>
    <w:rPr>
      <w:rFonts w:ascii="Calibri" w:hAnsi="Calibri" w:cs="Arial"/>
      <w:b/>
      <w:color w:val="595959"/>
      <w:kern w:val="32"/>
      <w:sz w:val="26"/>
      <w:szCs w:val="20"/>
    </w:rPr>
  </w:style>
  <w:style w:type="paragraph" w:styleId="TDC4">
    <w:name w:val="toc 4"/>
    <w:basedOn w:val="Normal"/>
    <w:next w:val="Normal"/>
    <w:autoRedefine/>
    <w:uiPriority w:val="99"/>
    <w:semiHidden/>
    <w:rsid w:val="00371929"/>
    <w:pPr>
      <w:ind w:left="480"/>
    </w:pPr>
    <w:rPr>
      <w:rFonts w:ascii="Calibri" w:hAnsi="Calibri" w:cs="Calibri"/>
      <w:sz w:val="20"/>
      <w:szCs w:val="20"/>
    </w:rPr>
  </w:style>
  <w:style w:type="paragraph" w:styleId="TDC5">
    <w:name w:val="toc 5"/>
    <w:basedOn w:val="Normal"/>
    <w:next w:val="Normal"/>
    <w:autoRedefine/>
    <w:uiPriority w:val="99"/>
    <w:semiHidden/>
    <w:rsid w:val="00371929"/>
    <w:pPr>
      <w:ind w:left="720"/>
    </w:pPr>
    <w:rPr>
      <w:rFonts w:ascii="Calibri" w:hAnsi="Calibri" w:cs="Calibri"/>
      <w:sz w:val="20"/>
      <w:szCs w:val="20"/>
    </w:rPr>
  </w:style>
  <w:style w:type="paragraph" w:styleId="TDC6">
    <w:name w:val="toc 6"/>
    <w:basedOn w:val="Normal"/>
    <w:next w:val="Normal"/>
    <w:autoRedefine/>
    <w:uiPriority w:val="99"/>
    <w:semiHidden/>
    <w:rsid w:val="00371929"/>
    <w:pPr>
      <w:ind w:left="960"/>
    </w:pPr>
    <w:rPr>
      <w:rFonts w:ascii="Calibri" w:hAnsi="Calibri" w:cs="Calibri"/>
      <w:sz w:val="20"/>
      <w:szCs w:val="20"/>
    </w:rPr>
  </w:style>
  <w:style w:type="paragraph" w:styleId="TDC7">
    <w:name w:val="toc 7"/>
    <w:basedOn w:val="Normal"/>
    <w:next w:val="Normal"/>
    <w:autoRedefine/>
    <w:uiPriority w:val="99"/>
    <w:semiHidden/>
    <w:rsid w:val="00371929"/>
    <w:pPr>
      <w:ind w:left="1200"/>
    </w:pPr>
    <w:rPr>
      <w:rFonts w:ascii="Calibri" w:hAnsi="Calibri" w:cs="Calibri"/>
      <w:sz w:val="20"/>
      <w:szCs w:val="20"/>
    </w:rPr>
  </w:style>
  <w:style w:type="paragraph" w:styleId="TDC8">
    <w:name w:val="toc 8"/>
    <w:basedOn w:val="Normal"/>
    <w:next w:val="Normal"/>
    <w:autoRedefine/>
    <w:uiPriority w:val="99"/>
    <w:semiHidden/>
    <w:rsid w:val="00371929"/>
    <w:pPr>
      <w:ind w:left="1440"/>
    </w:pPr>
    <w:rPr>
      <w:rFonts w:ascii="Calibri" w:hAnsi="Calibri" w:cs="Calibri"/>
      <w:sz w:val="20"/>
      <w:szCs w:val="20"/>
    </w:rPr>
  </w:style>
  <w:style w:type="paragraph" w:styleId="TDC9">
    <w:name w:val="toc 9"/>
    <w:basedOn w:val="Normal"/>
    <w:next w:val="Normal"/>
    <w:autoRedefine/>
    <w:uiPriority w:val="99"/>
    <w:semiHidden/>
    <w:rsid w:val="00371929"/>
    <w:pPr>
      <w:ind w:left="1680"/>
    </w:pPr>
    <w:rPr>
      <w:rFonts w:ascii="Calibri" w:hAnsi="Calibri" w:cs="Calibri"/>
      <w:sz w:val="20"/>
      <w:szCs w:val="20"/>
    </w:rPr>
  </w:style>
  <w:style w:type="character" w:styleId="Hipervnculo">
    <w:name w:val="Hyperlink"/>
    <w:basedOn w:val="Fuentedeprrafopredeter"/>
    <w:uiPriority w:val="99"/>
    <w:rsid w:val="00371929"/>
    <w:rPr>
      <w:rFonts w:cs="Times New Roman"/>
      <w:color w:val="0000FF"/>
      <w:u w:val="single"/>
    </w:rPr>
  </w:style>
  <w:style w:type="paragraph" w:styleId="Prrafodelista">
    <w:name w:val="List Paragraph"/>
    <w:basedOn w:val="Normal"/>
    <w:uiPriority w:val="99"/>
    <w:qFormat/>
    <w:rsid w:val="007B6CDB"/>
    <w:pPr>
      <w:ind w:left="720"/>
      <w:contextualSpacing/>
    </w:pPr>
  </w:style>
  <w:style w:type="paragraph" w:styleId="Sinespaciado">
    <w:name w:val="No Spacing"/>
    <w:link w:val="SinespaciadoCar"/>
    <w:uiPriority w:val="1"/>
    <w:qFormat/>
    <w:rsid w:val="00BC162C"/>
    <w:rPr>
      <w:rFonts w:ascii="Calibri" w:hAnsi="Calibri"/>
    </w:rPr>
  </w:style>
  <w:style w:type="character" w:customStyle="1" w:styleId="SinespaciadoCar">
    <w:name w:val="Sin espaciado Car"/>
    <w:basedOn w:val="Fuentedeprrafopredeter"/>
    <w:link w:val="Sinespaciado"/>
    <w:uiPriority w:val="1"/>
    <w:locked/>
    <w:rsid w:val="00BC162C"/>
    <w:rPr>
      <w:rFonts w:ascii="Calibri" w:hAnsi="Calibri" w:cs="Times New Roman"/>
      <w:sz w:val="22"/>
      <w:szCs w:val="22"/>
      <w:lang w:val="es-AR" w:eastAsia="es-AR" w:bidi="ar-SA"/>
    </w:rPr>
  </w:style>
  <w:style w:type="paragraph" w:styleId="Revisin">
    <w:name w:val="Revision"/>
    <w:hidden/>
    <w:uiPriority w:val="99"/>
    <w:semiHidden/>
    <w:rsid w:val="0051212E"/>
    <w:rPr>
      <w:sz w:val="24"/>
      <w:szCs w:val="24"/>
      <w:lang w:val="es-ES" w:eastAsia="es-ES"/>
    </w:rPr>
  </w:style>
  <w:style w:type="table" w:styleId="Tablaconcuadrcula">
    <w:name w:val="Table Grid"/>
    <w:basedOn w:val="Tablanormal"/>
    <w:uiPriority w:val="99"/>
    <w:rsid w:val="000B742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C1Car">
    <w:name w:val="TDC 1 Car"/>
    <w:basedOn w:val="Fuentedeprrafopredeter"/>
    <w:link w:val="TDC1"/>
    <w:uiPriority w:val="99"/>
    <w:locked/>
    <w:rsid w:val="00E6136A"/>
    <w:rPr>
      <w:rFonts w:ascii="Calibri" w:hAnsi="Calibri" w:cs="Times New Roman"/>
      <w:b/>
      <w:bCs/>
      <w:caps/>
      <w:color w:val="5F5F5F"/>
      <w:sz w:val="24"/>
      <w:szCs w:val="24"/>
      <w:lang w:val="es-ES" w:eastAsia="es-ES" w:bidi="ar-SA"/>
    </w:rPr>
  </w:style>
  <w:style w:type="paragraph" w:styleId="TtuloTDC">
    <w:name w:val="TOC Heading"/>
    <w:basedOn w:val="Ttulo1"/>
    <w:next w:val="Normal"/>
    <w:uiPriority w:val="99"/>
    <w:qFormat/>
    <w:rsid w:val="00577482"/>
    <w:pPr>
      <w:keepLines/>
      <w:spacing w:before="480" w:after="0" w:line="276" w:lineRule="auto"/>
      <w:outlineLvl w:val="9"/>
    </w:pPr>
    <w:rPr>
      <w:rFonts w:ascii="Cambria" w:hAnsi="Cambria" w:cs="Times New Roman"/>
      <w:color w:val="A5A5A5"/>
      <w:kern w:val="0"/>
      <w:sz w:val="28"/>
      <w:szCs w:val="28"/>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3516">
      <w:bodyDiv w:val="1"/>
      <w:marLeft w:val="0"/>
      <w:marRight w:val="0"/>
      <w:marTop w:val="0"/>
      <w:marBottom w:val="0"/>
      <w:divBdr>
        <w:top w:val="none" w:sz="0" w:space="0" w:color="auto"/>
        <w:left w:val="none" w:sz="0" w:space="0" w:color="auto"/>
        <w:bottom w:val="none" w:sz="0" w:space="0" w:color="auto"/>
        <w:right w:val="none" w:sz="0" w:space="0" w:color="auto"/>
      </w:divBdr>
    </w:div>
    <w:div w:id="944653809">
      <w:bodyDiv w:val="1"/>
      <w:marLeft w:val="0"/>
      <w:marRight w:val="0"/>
      <w:marTop w:val="0"/>
      <w:marBottom w:val="0"/>
      <w:divBdr>
        <w:top w:val="none" w:sz="0" w:space="0" w:color="auto"/>
        <w:left w:val="none" w:sz="0" w:space="0" w:color="auto"/>
        <w:bottom w:val="none" w:sz="0" w:space="0" w:color="auto"/>
        <w:right w:val="none" w:sz="0" w:space="0" w:color="auto"/>
      </w:divBdr>
    </w:div>
    <w:div w:id="1036656735">
      <w:bodyDiv w:val="1"/>
      <w:marLeft w:val="0"/>
      <w:marRight w:val="0"/>
      <w:marTop w:val="0"/>
      <w:marBottom w:val="0"/>
      <w:divBdr>
        <w:top w:val="none" w:sz="0" w:space="0" w:color="auto"/>
        <w:left w:val="none" w:sz="0" w:space="0" w:color="auto"/>
        <w:bottom w:val="none" w:sz="0" w:space="0" w:color="auto"/>
        <w:right w:val="none" w:sz="0" w:space="0" w:color="auto"/>
      </w:divBdr>
    </w:div>
    <w:div w:id="1509127836">
      <w:marLeft w:val="0"/>
      <w:marRight w:val="0"/>
      <w:marTop w:val="0"/>
      <w:marBottom w:val="0"/>
      <w:divBdr>
        <w:top w:val="none" w:sz="0" w:space="0" w:color="auto"/>
        <w:left w:val="none" w:sz="0" w:space="0" w:color="auto"/>
        <w:bottom w:val="none" w:sz="0" w:space="0" w:color="auto"/>
        <w:right w:val="none" w:sz="0" w:space="0" w:color="auto"/>
      </w:divBdr>
    </w:div>
    <w:div w:id="1509127837">
      <w:marLeft w:val="0"/>
      <w:marRight w:val="0"/>
      <w:marTop w:val="0"/>
      <w:marBottom w:val="0"/>
      <w:divBdr>
        <w:top w:val="none" w:sz="0" w:space="0" w:color="auto"/>
        <w:left w:val="none" w:sz="0" w:space="0" w:color="auto"/>
        <w:bottom w:val="none" w:sz="0" w:space="0" w:color="auto"/>
        <w:right w:val="none" w:sz="0" w:space="0" w:color="auto"/>
      </w:divBdr>
    </w:div>
    <w:div w:id="1509127838">
      <w:marLeft w:val="0"/>
      <w:marRight w:val="0"/>
      <w:marTop w:val="0"/>
      <w:marBottom w:val="0"/>
      <w:divBdr>
        <w:top w:val="none" w:sz="0" w:space="0" w:color="auto"/>
        <w:left w:val="none" w:sz="0" w:space="0" w:color="auto"/>
        <w:bottom w:val="none" w:sz="0" w:space="0" w:color="auto"/>
        <w:right w:val="none" w:sz="0" w:space="0" w:color="auto"/>
      </w:divBdr>
    </w:div>
    <w:div w:id="1509127839">
      <w:marLeft w:val="0"/>
      <w:marRight w:val="0"/>
      <w:marTop w:val="0"/>
      <w:marBottom w:val="0"/>
      <w:divBdr>
        <w:top w:val="none" w:sz="0" w:space="0" w:color="auto"/>
        <w:left w:val="none" w:sz="0" w:space="0" w:color="auto"/>
        <w:bottom w:val="none" w:sz="0" w:space="0" w:color="auto"/>
        <w:right w:val="none" w:sz="0" w:space="0" w:color="auto"/>
      </w:divBdr>
    </w:div>
    <w:div w:id="1509127840">
      <w:marLeft w:val="0"/>
      <w:marRight w:val="0"/>
      <w:marTop w:val="0"/>
      <w:marBottom w:val="0"/>
      <w:divBdr>
        <w:top w:val="none" w:sz="0" w:space="0" w:color="auto"/>
        <w:left w:val="none" w:sz="0" w:space="0" w:color="auto"/>
        <w:bottom w:val="none" w:sz="0" w:space="0" w:color="auto"/>
        <w:right w:val="none" w:sz="0" w:space="0" w:color="auto"/>
      </w:divBdr>
    </w:div>
    <w:div w:id="1509127841">
      <w:marLeft w:val="0"/>
      <w:marRight w:val="0"/>
      <w:marTop w:val="0"/>
      <w:marBottom w:val="0"/>
      <w:divBdr>
        <w:top w:val="none" w:sz="0" w:space="0" w:color="auto"/>
        <w:left w:val="none" w:sz="0" w:space="0" w:color="auto"/>
        <w:bottom w:val="none" w:sz="0" w:space="0" w:color="auto"/>
        <w:right w:val="none" w:sz="0" w:space="0" w:color="auto"/>
      </w:divBdr>
    </w:div>
    <w:div w:id="1509127842">
      <w:marLeft w:val="0"/>
      <w:marRight w:val="0"/>
      <w:marTop w:val="0"/>
      <w:marBottom w:val="0"/>
      <w:divBdr>
        <w:top w:val="none" w:sz="0" w:space="0" w:color="auto"/>
        <w:left w:val="none" w:sz="0" w:space="0" w:color="auto"/>
        <w:bottom w:val="none" w:sz="0" w:space="0" w:color="auto"/>
        <w:right w:val="none" w:sz="0" w:space="0" w:color="auto"/>
      </w:divBdr>
    </w:div>
    <w:div w:id="1509127843">
      <w:marLeft w:val="0"/>
      <w:marRight w:val="0"/>
      <w:marTop w:val="0"/>
      <w:marBottom w:val="0"/>
      <w:divBdr>
        <w:top w:val="none" w:sz="0" w:space="0" w:color="auto"/>
        <w:left w:val="none" w:sz="0" w:space="0" w:color="auto"/>
        <w:bottom w:val="none" w:sz="0" w:space="0" w:color="auto"/>
        <w:right w:val="none" w:sz="0" w:space="0" w:color="auto"/>
      </w:divBdr>
    </w:div>
    <w:div w:id="1509127844">
      <w:marLeft w:val="0"/>
      <w:marRight w:val="0"/>
      <w:marTop w:val="0"/>
      <w:marBottom w:val="0"/>
      <w:divBdr>
        <w:top w:val="none" w:sz="0" w:space="0" w:color="auto"/>
        <w:left w:val="none" w:sz="0" w:space="0" w:color="auto"/>
        <w:bottom w:val="none" w:sz="0" w:space="0" w:color="auto"/>
        <w:right w:val="none" w:sz="0" w:space="0" w:color="auto"/>
      </w:divBdr>
    </w:div>
    <w:div w:id="1509127845">
      <w:marLeft w:val="0"/>
      <w:marRight w:val="0"/>
      <w:marTop w:val="0"/>
      <w:marBottom w:val="0"/>
      <w:divBdr>
        <w:top w:val="none" w:sz="0" w:space="0" w:color="auto"/>
        <w:left w:val="none" w:sz="0" w:space="0" w:color="auto"/>
        <w:bottom w:val="none" w:sz="0" w:space="0" w:color="auto"/>
        <w:right w:val="none" w:sz="0" w:space="0" w:color="auto"/>
      </w:divBdr>
    </w:div>
    <w:div w:id="1509127846">
      <w:marLeft w:val="0"/>
      <w:marRight w:val="0"/>
      <w:marTop w:val="0"/>
      <w:marBottom w:val="0"/>
      <w:divBdr>
        <w:top w:val="none" w:sz="0" w:space="0" w:color="auto"/>
        <w:left w:val="none" w:sz="0" w:space="0" w:color="auto"/>
        <w:bottom w:val="none" w:sz="0" w:space="0" w:color="auto"/>
        <w:right w:val="none" w:sz="0" w:space="0" w:color="auto"/>
      </w:divBdr>
    </w:div>
    <w:div w:id="1509127847">
      <w:marLeft w:val="0"/>
      <w:marRight w:val="0"/>
      <w:marTop w:val="0"/>
      <w:marBottom w:val="0"/>
      <w:divBdr>
        <w:top w:val="none" w:sz="0" w:space="0" w:color="auto"/>
        <w:left w:val="none" w:sz="0" w:space="0" w:color="auto"/>
        <w:bottom w:val="none" w:sz="0" w:space="0" w:color="auto"/>
        <w:right w:val="none" w:sz="0" w:space="0" w:color="auto"/>
      </w:divBdr>
    </w:div>
    <w:div w:id="1509127848">
      <w:marLeft w:val="0"/>
      <w:marRight w:val="0"/>
      <w:marTop w:val="0"/>
      <w:marBottom w:val="0"/>
      <w:divBdr>
        <w:top w:val="none" w:sz="0" w:space="0" w:color="auto"/>
        <w:left w:val="none" w:sz="0" w:space="0" w:color="auto"/>
        <w:bottom w:val="none" w:sz="0" w:space="0" w:color="auto"/>
        <w:right w:val="none" w:sz="0" w:space="0" w:color="auto"/>
      </w:divBdr>
    </w:div>
    <w:div w:id="1509127849">
      <w:marLeft w:val="0"/>
      <w:marRight w:val="0"/>
      <w:marTop w:val="0"/>
      <w:marBottom w:val="0"/>
      <w:divBdr>
        <w:top w:val="none" w:sz="0" w:space="0" w:color="auto"/>
        <w:left w:val="none" w:sz="0" w:space="0" w:color="auto"/>
        <w:bottom w:val="none" w:sz="0" w:space="0" w:color="auto"/>
        <w:right w:val="none" w:sz="0" w:space="0" w:color="auto"/>
      </w:divBdr>
    </w:div>
    <w:div w:id="1509127850">
      <w:marLeft w:val="0"/>
      <w:marRight w:val="0"/>
      <w:marTop w:val="0"/>
      <w:marBottom w:val="0"/>
      <w:divBdr>
        <w:top w:val="none" w:sz="0" w:space="0" w:color="auto"/>
        <w:left w:val="none" w:sz="0" w:space="0" w:color="auto"/>
        <w:bottom w:val="none" w:sz="0" w:space="0" w:color="auto"/>
        <w:right w:val="none" w:sz="0" w:space="0" w:color="auto"/>
      </w:divBdr>
    </w:div>
    <w:div w:id="1509127851">
      <w:marLeft w:val="0"/>
      <w:marRight w:val="0"/>
      <w:marTop w:val="0"/>
      <w:marBottom w:val="0"/>
      <w:divBdr>
        <w:top w:val="none" w:sz="0" w:space="0" w:color="auto"/>
        <w:left w:val="none" w:sz="0" w:space="0" w:color="auto"/>
        <w:bottom w:val="none" w:sz="0" w:space="0" w:color="auto"/>
        <w:right w:val="none" w:sz="0" w:space="0" w:color="auto"/>
      </w:divBdr>
    </w:div>
    <w:div w:id="1509127852">
      <w:marLeft w:val="0"/>
      <w:marRight w:val="0"/>
      <w:marTop w:val="0"/>
      <w:marBottom w:val="0"/>
      <w:divBdr>
        <w:top w:val="none" w:sz="0" w:space="0" w:color="auto"/>
        <w:left w:val="none" w:sz="0" w:space="0" w:color="auto"/>
        <w:bottom w:val="none" w:sz="0" w:space="0" w:color="auto"/>
        <w:right w:val="none" w:sz="0" w:space="0" w:color="auto"/>
      </w:divBdr>
    </w:div>
    <w:div w:id="1509127853">
      <w:marLeft w:val="0"/>
      <w:marRight w:val="0"/>
      <w:marTop w:val="0"/>
      <w:marBottom w:val="0"/>
      <w:divBdr>
        <w:top w:val="none" w:sz="0" w:space="0" w:color="auto"/>
        <w:left w:val="none" w:sz="0" w:space="0" w:color="auto"/>
        <w:bottom w:val="none" w:sz="0" w:space="0" w:color="auto"/>
        <w:right w:val="none" w:sz="0" w:space="0" w:color="auto"/>
      </w:divBdr>
    </w:div>
    <w:div w:id="1509127854">
      <w:marLeft w:val="0"/>
      <w:marRight w:val="0"/>
      <w:marTop w:val="0"/>
      <w:marBottom w:val="0"/>
      <w:divBdr>
        <w:top w:val="none" w:sz="0" w:space="0" w:color="auto"/>
        <w:left w:val="none" w:sz="0" w:space="0" w:color="auto"/>
        <w:bottom w:val="none" w:sz="0" w:space="0" w:color="auto"/>
        <w:right w:val="none" w:sz="0" w:space="0" w:color="auto"/>
      </w:divBdr>
    </w:div>
    <w:div w:id="1509127856">
      <w:marLeft w:val="0"/>
      <w:marRight w:val="0"/>
      <w:marTop w:val="0"/>
      <w:marBottom w:val="0"/>
      <w:divBdr>
        <w:top w:val="none" w:sz="0" w:space="0" w:color="auto"/>
        <w:left w:val="none" w:sz="0" w:space="0" w:color="auto"/>
        <w:bottom w:val="none" w:sz="0" w:space="0" w:color="auto"/>
        <w:right w:val="none" w:sz="0" w:space="0" w:color="auto"/>
      </w:divBdr>
    </w:div>
    <w:div w:id="1509127857">
      <w:marLeft w:val="0"/>
      <w:marRight w:val="0"/>
      <w:marTop w:val="0"/>
      <w:marBottom w:val="0"/>
      <w:divBdr>
        <w:top w:val="none" w:sz="0" w:space="0" w:color="auto"/>
        <w:left w:val="none" w:sz="0" w:space="0" w:color="auto"/>
        <w:bottom w:val="none" w:sz="0" w:space="0" w:color="auto"/>
        <w:right w:val="none" w:sz="0" w:space="0" w:color="auto"/>
      </w:divBdr>
    </w:div>
    <w:div w:id="1509127858">
      <w:marLeft w:val="0"/>
      <w:marRight w:val="0"/>
      <w:marTop w:val="0"/>
      <w:marBottom w:val="0"/>
      <w:divBdr>
        <w:top w:val="none" w:sz="0" w:space="0" w:color="auto"/>
        <w:left w:val="none" w:sz="0" w:space="0" w:color="auto"/>
        <w:bottom w:val="none" w:sz="0" w:space="0" w:color="auto"/>
        <w:right w:val="none" w:sz="0" w:space="0" w:color="auto"/>
      </w:divBdr>
    </w:div>
    <w:div w:id="1509127859">
      <w:marLeft w:val="0"/>
      <w:marRight w:val="0"/>
      <w:marTop w:val="0"/>
      <w:marBottom w:val="0"/>
      <w:divBdr>
        <w:top w:val="none" w:sz="0" w:space="0" w:color="auto"/>
        <w:left w:val="none" w:sz="0" w:space="0" w:color="auto"/>
        <w:bottom w:val="none" w:sz="0" w:space="0" w:color="auto"/>
        <w:right w:val="none" w:sz="0" w:space="0" w:color="auto"/>
      </w:divBdr>
    </w:div>
    <w:div w:id="1509127860">
      <w:marLeft w:val="0"/>
      <w:marRight w:val="0"/>
      <w:marTop w:val="0"/>
      <w:marBottom w:val="0"/>
      <w:divBdr>
        <w:top w:val="none" w:sz="0" w:space="0" w:color="auto"/>
        <w:left w:val="none" w:sz="0" w:space="0" w:color="auto"/>
        <w:bottom w:val="none" w:sz="0" w:space="0" w:color="auto"/>
        <w:right w:val="none" w:sz="0" w:space="0" w:color="auto"/>
      </w:divBdr>
    </w:div>
    <w:div w:id="1509127861">
      <w:marLeft w:val="0"/>
      <w:marRight w:val="0"/>
      <w:marTop w:val="0"/>
      <w:marBottom w:val="0"/>
      <w:divBdr>
        <w:top w:val="none" w:sz="0" w:space="0" w:color="auto"/>
        <w:left w:val="none" w:sz="0" w:space="0" w:color="auto"/>
        <w:bottom w:val="none" w:sz="0" w:space="0" w:color="auto"/>
        <w:right w:val="none" w:sz="0" w:space="0" w:color="auto"/>
      </w:divBdr>
    </w:div>
    <w:div w:id="1509127862">
      <w:marLeft w:val="0"/>
      <w:marRight w:val="0"/>
      <w:marTop w:val="0"/>
      <w:marBottom w:val="0"/>
      <w:divBdr>
        <w:top w:val="none" w:sz="0" w:space="0" w:color="auto"/>
        <w:left w:val="none" w:sz="0" w:space="0" w:color="auto"/>
        <w:bottom w:val="none" w:sz="0" w:space="0" w:color="auto"/>
        <w:right w:val="none" w:sz="0" w:space="0" w:color="auto"/>
      </w:divBdr>
    </w:div>
    <w:div w:id="1509127863">
      <w:marLeft w:val="0"/>
      <w:marRight w:val="0"/>
      <w:marTop w:val="0"/>
      <w:marBottom w:val="0"/>
      <w:divBdr>
        <w:top w:val="none" w:sz="0" w:space="0" w:color="auto"/>
        <w:left w:val="none" w:sz="0" w:space="0" w:color="auto"/>
        <w:bottom w:val="none" w:sz="0" w:space="0" w:color="auto"/>
        <w:right w:val="none" w:sz="0" w:space="0" w:color="auto"/>
      </w:divBdr>
    </w:div>
    <w:div w:id="1509127864">
      <w:marLeft w:val="0"/>
      <w:marRight w:val="0"/>
      <w:marTop w:val="0"/>
      <w:marBottom w:val="0"/>
      <w:divBdr>
        <w:top w:val="none" w:sz="0" w:space="0" w:color="auto"/>
        <w:left w:val="none" w:sz="0" w:space="0" w:color="auto"/>
        <w:bottom w:val="none" w:sz="0" w:space="0" w:color="auto"/>
        <w:right w:val="none" w:sz="0" w:space="0" w:color="auto"/>
      </w:divBdr>
    </w:div>
    <w:div w:id="1509127865">
      <w:marLeft w:val="0"/>
      <w:marRight w:val="0"/>
      <w:marTop w:val="0"/>
      <w:marBottom w:val="0"/>
      <w:divBdr>
        <w:top w:val="none" w:sz="0" w:space="0" w:color="auto"/>
        <w:left w:val="none" w:sz="0" w:space="0" w:color="auto"/>
        <w:bottom w:val="none" w:sz="0" w:space="0" w:color="auto"/>
        <w:right w:val="none" w:sz="0" w:space="0" w:color="auto"/>
      </w:divBdr>
    </w:div>
    <w:div w:id="1509127866">
      <w:marLeft w:val="0"/>
      <w:marRight w:val="0"/>
      <w:marTop w:val="0"/>
      <w:marBottom w:val="0"/>
      <w:divBdr>
        <w:top w:val="none" w:sz="0" w:space="0" w:color="auto"/>
        <w:left w:val="none" w:sz="0" w:space="0" w:color="auto"/>
        <w:bottom w:val="none" w:sz="0" w:space="0" w:color="auto"/>
        <w:right w:val="none" w:sz="0" w:space="0" w:color="auto"/>
      </w:divBdr>
    </w:div>
    <w:div w:id="1509127867">
      <w:marLeft w:val="0"/>
      <w:marRight w:val="0"/>
      <w:marTop w:val="0"/>
      <w:marBottom w:val="0"/>
      <w:divBdr>
        <w:top w:val="none" w:sz="0" w:space="0" w:color="auto"/>
        <w:left w:val="none" w:sz="0" w:space="0" w:color="auto"/>
        <w:bottom w:val="none" w:sz="0" w:space="0" w:color="auto"/>
        <w:right w:val="none" w:sz="0" w:space="0" w:color="auto"/>
      </w:divBdr>
    </w:div>
    <w:div w:id="1509127868">
      <w:marLeft w:val="0"/>
      <w:marRight w:val="0"/>
      <w:marTop w:val="0"/>
      <w:marBottom w:val="0"/>
      <w:divBdr>
        <w:top w:val="none" w:sz="0" w:space="0" w:color="auto"/>
        <w:left w:val="none" w:sz="0" w:space="0" w:color="auto"/>
        <w:bottom w:val="none" w:sz="0" w:space="0" w:color="auto"/>
        <w:right w:val="none" w:sz="0" w:space="0" w:color="auto"/>
      </w:divBdr>
    </w:div>
    <w:div w:id="1509127869">
      <w:marLeft w:val="0"/>
      <w:marRight w:val="0"/>
      <w:marTop w:val="0"/>
      <w:marBottom w:val="0"/>
      <w:divBdr>
        <w:top w:val="none" w:sz="0" w:space="0" w:color="auto"/>
        <w:left w:val="none" w:sz="0" w:space="0" w:color="auto"/>
        <w:bottom w:val="none" w:sz="0" w:space="0" w:color="auto"/>
        <w:right w:val="none" w:sz="0" w:space="0" w:color="auto"/>
      </w:divBdr>
    </w:div>
    <w:div w:id="1509127870">
      <w:marLeft w:val="0"/>
      <w:marRight w:val="0"/>
      <w:marTop w:val="0"/>
      <w:marBottom w:val="0"/>
      <w:divBdr>
        <w:top w:val="none" w:sz="0" w:space="0" w:color="auto"/>
        <w:left w:val="none" w:sz="0" w:space="0" w:color="auto"/>
        <w:bottom w:val="none" w:sz="0" w:space="0" w:color="auto"/>
        <w:right w:val="none" w:sz="0" w:space="0" w:color="auto"/>
      </w:divBdr>
    </w:div>
    <w:div w:id="1509127871">
      <w:marLeft w:val="0"/>
      <w:marRight w:val="0"/>
      <w:marTop w:val="0"/>
      <w:marBottom w:val="0"/>
      <w:divBdr>
        <w:top w:val="none" w:sz="0" w:space="0" w:color="auto"/>
        <w:left w:val="none" w:sz="0" w:space="0" w:color="auto"/>
        <w:bottom w:val="none" w:sz="0" w:space="0" w:color="auto"/>
        <w:right w:val="none" w:sz="0" w:space="0" w:color="auto"/>
      </w:divBdr>
    </w:div>
    <w:div w:id="1509127872">
      <w:marLeft w:val="0"/>
      <w:marRight w:val="0"/>
      <w:marTop w:val="0"/>
      <w:marBottom w:val="0"/>
      <w:divBdr>
        <w:top w:val="none" w:sz="0" w:space="0" w:color="auto"/>
        <w:left w:val="none" w:sz="0" w:space="0" w:color="auto"/>
        <w:bottom w:val="none" w:sz="0" w:space="0" w:color="auto"/>
        <w:right w:val="none" w:sz="0" w:space="0" w:color="auto"/>
      </w:divBdr>
    </w:div>
    <w:div w:id="1509127873">
      <w:marLeft w:val="0"/>
      <w:marRight w:val="0"/>
      <w:marTop w:val="0"/>
      <w:marBottom w:val="0"/>
      <w:divBdr>
        <w:top w:val="none" w:sz="0" w:space="0" w:color="auto"/>
        <w:left w:val="none" w:sz="0" w:space="0" w:color="auto"/>
        <w:bottom w:val="none" w:sz="0" w:space="0" w:color="auto"/>
        <w:right w:val="none" w:sz="0" w:space="0" w:color="auto"/>
      </w:divBdr>
    </w:div>
    <w:div w:id="1509127874">
      <w:marLeft w:val="0"/>
      <w:marRight w:val="0"/>
      <w:marTop w:val="0"/>
      <w:marBottom w:val="0"/>
      <w:divBdr>
        <w:top w:val="none" w:sz="0" w:space="0" w:color="auto"/>
        <w:left w:val="none" w:sz="0" w:space="0" w:color="auto"/>
        <w:bottom w:val="none" w:sz="0" w:space="0" w:color="auto"/>
        <w:right w:val="none" w:sz="0" w:space="0" w:color="auto"/>
      </w:divBdr>
    </w:div>
    <w:div w:id="1509127875">
      <w:marLeft w:val="0"/>
      <w:marRight w:val="0"/>
      <w:marTop w:val="0"/>
      <w:marBottom w:val="0"/>
      <w:divBdr>
        <w:top w:val="none" w:sz="0" w:space="0" w:color="auto"/>
        <w:left w:val="none" w:sz="0" w:space="0" w:color="auto"/>
        <w:bottom w:val="none" w:sz="0" w:space="0" w:color="auto"/>
        <w:right w:val="none" w:sz="0" w:space="0" w:color="auto"/>
      </w:divBdr>
    </w:div>
    <w:div w:id="1509127876">
      <w:marLeft w:val="0"/>
      <w:marRight w:val="0"/>
      <w:marTop w:val="0"/>
      <w:marBottom w:val="0"/>
      <w:divBdr>
        <w:top w:val="none" w:sz="0" w:space="0" w:color="auto"/>
        <w:left w:val="none" w:sz="0" w:space="0" w:color="auto"/>
        <w:bottom w:val="none" w:sz="0" w:space="0" w:color="auto"/>
        <w:right w:val="none" w:sz="0" w:space="0" w:color="auto"/>
      </w:divBdr>
    </w:div>
    <w:div w:id="1509127877">
      <w:marLeft w:val="0"/>
      <w:marRight w:val="0"/>
      <w:marTop w:val="0"/>
      <w:marBottom w:val="0"/>
      <w:divBdr>
        <w:top w:val="none" w:sz="0" w:space="0" w:color="auto"/>
        <w:left w:val="none" w:sz="0" w:space="0" w:color="auto"/>
        <w:bottom w:val="none" w:sz="0" w:space="0" w:color="auto"/>
        <w:right w:val="none" w:sz="0" w:space="0" w:color="auto"/>
      </w:divBdr>
    </w:div>
    <w:div w:id="1509127878">
      <w:marLeft w:val="0"/>
      <w:marRight w:val="0"/>
      <w:marTop w:val="0"/>
      <w:marBottom w:val="0"/>
      <w:divBdr>
        <w:top w:val="none" w:sz="0" w:space="0" w:color="auto"/>
        <w:left w:val="none" w:sz="0" w:space="0" w:color="auto"/>
        <w:bottom w:val="none" w:sz="0" w:space="0" w:color="auto"/>
        <w:right w:val="none" w:sz="0" w:space="0" w:color="auto"/>
      </w:divBdr>
    </w:div>
    <w:div w:id="1509127879">
      <w:marLeft w:val="0"/>
      <w:marRight w:val="0"/>
      <w:marTop w:val="0"/>
      <w:marBottom w:val="0"/>
      <w:divBdr>
        <w:top w:val="none" w:sz="0" w:space="0" w:color="auto"/>
        <w:left w:val="none" w:sz="0" w:space="0" w:color="auto"/>
        <w:bottom w:val="none" w:sz="0" w:space="0" w:color="auto"/>
        <w:right w:val="none" w:sz="0" w:space="0" w:color="auto"/>
      </w:divBdr>
    </w:div>
    <w:div w:id="1509127880">
      <w:marLeft w:val="0"/>
      <w:marRight w:val="0"/>
      <w:marTop w:val="0"/>
      <w:marBottom w:val="0"/>
      <w:divBdr>
        <w:top w:val="none" w:sz="0" w:space="0" w:color="auto"/>
        <w:left w:val="none" w:sz="0" w:space="0" w:color="auto"/>
        <w:bottom w:val="none" w:sz="0" w:space="0" w:color="auto"/>
        <w:right w:val="none" w:sz="0" w:space="0" w:color="auto"/>
      </w:divBdr>
    </w:div>
    <w:div w:id="1509127881">
      <w:marLeft w:val="0"/>
      <w:marRight w:val="0"/>
      <w:marTop w:val="0"/>
      <w:marBottom w:val="0"/>
      <w:divBdr>
        <w:top w:val="none" w:sz="0" w:space="0" w:color="auto"/>
        <w:left w:val="none" w:sz="0" w:space="0" w:color="auto"/>
        <w:bottom w:val="none" w:sz="0" w:space="0" w:color="auto"/>
        <w:right w:val="none" w:sz="0" w:space="0" w:color="auto"/>
      </w:divBdr>
    </w:div>
    <w:div w:id="1509127882">
      <w:marLeft w:val="0"/>
      <w:marRight w:val="0"/>
      <w:marTop w:val="0"/>
      <w:marBottom w:val="0"/>
      <w:divBdr>
        <w:top w:val="none" w:sz="0" w:space="0" w:color="auto"/>
        <w:left w:val="none" w:sz="0" w:space="0" w:color="auto"/>
        <w:bottom w:val="none" w:sz="0" w:space="0" w:color="auto"/>
        <w:right w:val="none" w:sz="0" w:space="0" w:color="auto"/>
      </w:divBdr>
    </w:div>
    <w:div w:id="1509127883">
      <w:marLeft w:val="0"/>
      <w:marRight w:val="0"/>
      <w:marTop w:val="0"/>
      <w:marBottom w:val="0"/>
      <w:divBdr>
        <w:top w:val="none" w:sz="0" w:space="0" w:color="auto"/>
        <w:left w:val="none" w:sz="0" w:space="0" w:color="auto"/>
        <w:bottom w:val="none" w:sz="0" w:space="0" w:color="auto"/>
        <w:right w:val="none" w:sz="0" w:space="0" w:color="auto"/>
      </w:divBdr>
    </w:div>
    <w:div w:id="1509127884">
      <w:marLeft w:val="0"/>
      <w:marRight w:val="0"/>
      <w:marTop w:val="0"/>
      <w:marBottom w:val="0"/>
      <w:divBdr>
        <w:top w:val="none" w:sz="0" w:space="0" w:color="auto"/>
        <w:left w:val="none" w:sz="0" w:space="0" w:color="auto"/>
        <w:bottom w:val="none" w:sz="0" w:space="0" w:color="auto"/>
        <w:right w:val="none" w:sz="0" w:space="0" w:color="auto"/>
      </w:divBdr>
    </w:div>
    <w:div w:id="1509127885">
      <w:marLeft w:val="0"/>
      <w:marRight w:val="0"/>
      <w:marTop w:val="0"/>
      <w:marBottom w:val="0"/>
      <w:divBdr>
        <w:top w:val="none" w:sz="0" w:space="0" w:color="auto"/>
        <w:left w:val="none" w:sz="0" w:space="0" w:color="auto"/>
        <w:bottom w:val="none" w:sz="0" w:space="0" w:color="auto"/>
        <w:right w:val="none" w:sz="0" w:space="0" w:color="auto"/>
      </w:divBdr>
    </w:div>
    <w:div w:id="1509127886">
      <w:marLeft w:val="0"/>
      <w:marRight w:val="0"/>
      <w:marTop w:val="0"/>
      <w:marBottom w:val="0"/>
      <w:divBdr>
        <w:top w:val="none" w:sz="0" w:space="0" w:color="auto"/>
        <w:left w:val="none" w:sz="0" w:space="0" w:color="auto"/>
        <w:bottom w:val="none" w:sz="0" w:space="0" w:color="auto"/>
        <w:right w:val="none" w:sz="0" w:space="0" w:color="auto"/>
      </w:divBdr>
    </w:div>
    <w:div w:id="1509127887">
      <w:marLeft w:val="0"/>
      <w:marRight w:val="0"/>
      <w:marTop w:val="0"/>
      <w:marBottom w:val="0"/>
      <w:divBdr>
        <w:top w:val="none" w:sz="0" w:space="0" w:color="auto"/>
        <w:left w:val="none" w:sz="0" w:space="0" w:color="auto"/>
        <w:bottom w:val="none" w:sz="0" w:space="0" w:color="auto"/>
        <w:right w:val="none" w:sz="0" w:space="0" w:color="auto"/>
      </w:divBdr>
    </w:div>
    <w:div w:id="1509127888">
      <w:marLeft w:val="0"/>
      <w:marRight w:val="0"/>
      <w:marTop w:val="0"/>
      <w:marBottom w:val="0"/>
      <w:divBdr>
        <w:top w:val="none" w:sz="0" w:space="0" w:color="auto"/>
        <w:left w:val="none" w:sz="0" w:space="0" w:color="auto"/>
        <w:bottom w:val="none" w:sz="0" w:space="0" w:color="auto"/>
        <w:right w:val="none" w:sz="0" w:space="0" w:color="auto"/>
      </w:divBdr>
    </w:div>
    <w:div w:id="1509127889">
      <w:marLeft w:val="0"/>
      <w:marRight w:val="0"/>
      <w:marTop w:val="0"/>
      <w:marBottom w:val="0"/>
      <w:divBdr>
        <w:top w:val="none" w:sz="0" w:space="0" w:color="auto"/>
        <w:left w:val="none" w:sz="0" w:space="0" w:color="auto"/>
        <w:bottom w:val="none" w:sz="0" w:space="0" w:color="auto"/>
        <w:right w:val="none" w:sz="0" w:space="0" w:color="auto"/>
      </w:divBdr>
    </w:div>
    <w:div w:id="1509127890">
      <w:marLeft w:val="0"/>
      <w:marRight w:val="0"/>
      <w:marTop w:val="0"/>
      <w:marBottom w:val="0"/>
      <w:divBdr>
        <w:top w:val="none" w:sz="0" w:space="0" w:color="auto"/>
        <w:left w:val="none" w:sz="0" w:space="0" w:color="auto"/>
        <w:bottom w:val="none" w:sz="0" w:space="0" w:color="auto"/>
        <w:right w:val="none" w:sz="0" w:space="0" w:color="auto"/>
      </w:divBdr>
    </w:div>
    <w:div w:id="1509127891">
      <w:marLeft w:val="0"/>
      <w:marRight w:val="0"/>
      <w:marTop w:val="0"/>
      <w:marBottom w:val="0"/>
      <w:divBdr>
        <w:top w:val="none" w:sz="0" w:space="0" w:color="auto"/>
        <w:left w:val="none" w:sz="0" w:space="0" w:color="auto"/>
        <w:bottom w:val="none" w:sz="0" w:space="0" w:color="auto"/>
        <w:right w:val="none" w:sz="0" w:space="0" w:color="auto"/>
      </w:divBdr>
    </w:div>
    <w:div w:id="1509127892">
      <w:marLeft w:val="0"/>
      <w:marRight w:val="0"/>
      <w:marTop w:val="0"/>
      <w:marBottom w:val="0"/>
      <w:divBdr>
        <w:top w:val="none" w:sz="0" w:space="0" w:color="auto"/>
        <w:left w:val="none" w:sz="0" w:space="0" w:color="auto"/>
        <w:bottom w:val="none" w:sz="0" w:space="0" w:color="auto"/>
        <w:right w:val="none" w:sz="0" w:space="0" w:color="auto"/>
      </w:divBdr>
      <w:divsChild>
        <w:div w:id="1509127855">
          <w:marLeft w:val="0"/>
          <w:marRight w:val="0"/>
          <w:marTop w:val="0"/>
          <w:marBottom w:val="0"/>
          <w:divBdr>
            <w:top w:val="none" w:sz="0" w:space="0" w:color="auto"/>
            <w:left w:val="none" w:sz="0" w:space="0" w:color="auto"/>
            <w:bottom w:val="none" w:sz="0" w:space="0" w:color="auto"/>
            <w:right w:val="none" w:sz="0" w:space="0" w:color="auto"/>
          </w:divBdr>
        </w:div>
      </w:divsChild>
    </w:div>
    <w:div w:id="1529948174">
      <w:bodyDiv w:val="1"/>
      <w:marLeft w:val="0"/>
      <w:marRight w:val="0"/>
      <w:marTop w:val="0"/>
      <w:marBottom w:val="0"/>
      <w:divBdr>
        <w:top w:val="none" w:sz="0" w:space="0" w:color="auto"/>
        <w:left w:val="none" w:sz="0" w:space="0" w:color="auto"/>
        <w:bottom w:val="none" w:sz="0" w:space="0" w:color="auto"/>
        <w:right w:val="none" w:sz="0" w:space="0" w:color="auto"/>
      </w:divBdr>
    </w:div>
    <w:div w:id="174896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2" Type="http://schemas.openxmlformats.org/officeDocument/2006/relationships/image" Target="file:///d:\users\mbasil\appdata\roaming\microsoft\plantillas\ESCUDO.WMF"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15</Pages>
  <Words>3442</Words>
  <Characters>18935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MINISTERIO DE HACIENDA Y   FINANZAS PUBLICAS</Company>
  <LinksUpToDate>false</LinksUpToDate>
  <CharactersWithSpaces>22333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subject/>
  <dc:creator>swar</dc:creator>
  <cp:keywords/>
  <dc:description/>
  <cp:lastModifiedBy>ftomas</cp:lastModifiedBy>
  <cp:revision>68</cp:revision>
  <cp:lastPrinted>2019-12-05T13:58:00Z</cp:lastPrinted>
  <dcterms:created xsi:type="dcterms:W3CDTF">2019-03-12T21:34:00Z</dcterms:created>
  <dcterms:modified xsi:type="dcterms:W3CDTF">2022-04-19T18:31:00Z</dcterms:modified>
</cp:coreProperties>
</file>