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E4A" w:rsidRDefault="002A6E4A" w:rsidP="00012CF8">
      <w:pPr>
        <w:suppressAutoHyphens/>
        <w:spacing w:before="240" w:after="240"/>
        <w:jc w:val="center"/>
        <w:rPr>
          <w:rFonts w:ascii="Trebuchet MS" w:hAnsi="Trebuchet MS"/>
          <w:b/>
          <w:sz w:val="40"/>
          <w:szCs w:val="40"/>
          <w:u w:val="single"/>
        </w:rPr>
      </w:pPr>
    </w:p>
    <w:p w:rsidR="002A6E4A" w:rsidRDefault="002A6E4A" w:rsidP="00012CF8">
      <w:pPr>
        <w:suppressAutoHyphens/>
        <w:spacing w:before="240" w:after="240"/>
        <w:jc w:val="center"/>
        <w:rPr>
          <w:rFonts w:ascii="Trebuchet MS" w:hAnsi="Trebuchet MS"/>
          <w:b/>
          <w:sz w:val="40"/>
          <w:szCs w:val="40"/>
          <w:u w:val="single"/>
        </w:rPr>
      </w:pPr>
    </w:p>
    <w:p w:rsidR="00133208" w:rsidRDefault="00B12D09" w:rsidP="00012CF8">
      <w:pPr>
        <w:suppressAutoHyphens/>
        <w:spacing w:before="240" w:after="240"/>
        <w:jc w:val="center"/>
        <w:rPr>
          <w:rFonts w:ascii="Trebuchet MS" w:hAnsi="Trebuchet MS"/>
          <w:b/>
          <w:sz w:val="40"/>
          <w:szCs w:val="40"/>
          <w:u w:val="single"/>
        </w:rPr>
        <w:sectPr w:rsidR="00133208" w:rsidSect="00562CEB">
          <w:headerReference w:type="default" r:id="rId8"/>
          <w:footerReference w:type="even" r:id="rId9"/>
          <w:footerReference w:type="default" r:id="rId10"/>
          <w:footerReference w:type="first" r:id="rId11"/>
          <w:type w:val="continuous"/>
          <w:pgSz w:w="11907" w:h="16839" w:code="9"/>
          <w:pgMar w:top="1417" w:right="1701" w:bottom="1417" w:left="1701" w:header="567" w:footer="567" w:gutter="0"/>
          <w:cols w:space="708"/>
          <w:titlePg/>
          <w:docGrid w:linePitch="360"/>
        </w:sectPr>
      </w:pPr>
      <w:r>
        <w:rPr>
          <w:noProof/>
          <w:lang w:val="es-AR" w:eastAsia="es-AR"/>
        </w:rPr>
        <mc:AlternateContent>
          <mc:Choice Requires="wpg">
            <w:drawing>
              <wp:anchor distT="0" distB="0" distL="114300" distR="114300" simplePos="0" relativeHeight="251669504" behindDoc="0" locked="0" layoutInCell="1" allowOverlap="1" wp14:anchorId="267CB93A" wp14:editId="19DA9D38">
                <wp:simplePos x="0" y="0"/>
                <wp:positionH relativeFrom="page">
                  <wp:posOffset>5784215</wp:posOffset>
                </wp:positionH>
                <wp:positionV relativeFrom="page">
                  <wp:posOffset>4735195</wp:posOffset>
                </wp:positionV>
                <wp:extent cx="740410" cy="777240"/>
                <wp:effectExtent l="635" t="0" r="3175" b="3175"/>
                <wp:wrapNone/>
                <wp:docPr id="389"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rgbClr val="91A6CF"/>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rgbClr val="5B6C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rgbClr val="274E9D"/>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40A4272" id="Grupo 7" o:spid="_x0000_s1026" style="position:absolute;margin-left:455.45pt;margin-top:372.85pt;width:58.3pt;height:61.2pt;rotation:90;z-index:251669504;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" adj="10330" fillcolor="#91a6c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" adj="10330" fillcolor="#5b6c9d"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" adj="10834" fillcolor="#274e9d" stroked="f" strokecolor="white"/>
                <w10:wrap anchorx="page" anchory="page"/>
              </v:group>
            </w:pict>
          </mc:Fallback>
        </mc:AlternateContent>
      </w:r>
      <w:r>
        <w:rPr>
          <w:noProof/>
          <w:lang w:val="es-AR" w:eastAsia="es-AR"/>
        </w:rPr>
        <mc:AlternateContent>
          <mc:Choice Requires="wps">
            <w:drawing>
              <wp:anchor distT="0" distB="0" distL="114300" distR="114300" simplePos="0" relativeHeight="251671552" behindDoc="0" locked="0" layoutInCell="1" allowOverlap="1" wp14:anchorId="72CE3B31" wp14:editId="6CC1BC70">
                <wp:simplePos x="0" y="0"/>
                <wp:positionH relativeFrom="margin">
                  <wp:posOffset>1624965</wp:posOffset>
                </wp:positionH>
                <wp:positionV relativeFrom="margin">
                  <wp:posOffset>5234940</wp:posOffset>
                </wp:positionV>
                <wp:extent cx="4144010" cy="1571625"/>
                <wp:effectExtent l="0" t="0" r="0" b="0"/>
                <wp:wrapNone/>
                <wp:docPr id="387" name="Cuadro de texto 387"/>
                <wp:cNvGraphicFramePr/>
                <a:graphic xmlns:a="http://schemas.openxmlformats.org/drawingml/2006/main">
                  <a:graphicData uri="http://schemas.microsoft.com/office/word/2010/wordprocessingShape">
                    <wps:wsp>
                      <wps:cNvSpPr txBox="1"/>
                      <wps:spPr>
                        <a:xfrm>
                          <a:off x="0" y="0"/>
                          <a:ext cx="4144010" cy="157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20</w:t>
                            </w:r>
                          </w:p>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E3B31" id="_x0000_t202" coordsize="21600,21600" o:spt="202" path="m,l,21600r21600,l21600,xe">
                <v:stroke joinstyle="miter"/>
                <v:path gradientshapeok="t" o:connecttype="rect"/>
              </v:shapetype>
              <v:shape id="Cuadro de texto 387" o:spid="_x0000_s1026" type="#_x0000_t202" style="position:absolute;left:0;text-align:left;margin-left:127.95pt;margin-top:412.2pt;width:326.3pt;height:12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" filled="f" stroked="f" strokeweight=".5pt">
                <v:textbox inset=",14.4pt,,7.2pt">
                  <w:txbxContent>
                    <w:p w:rsidR="009B4D20" w:rsidRPr="00C5064F" w:rsidRDefault="009B4D20" w:rsidP="00B12D09">
                      <w:pPr>
                        <w:suppressOverlap/>
                        <w:rPr>
                          <w:rFonts w:asciiTheme="majorHAnsi" w:hAnsiTheme="majorHAnsi"/>
                          <w:b/>
                          <w:sz w:val="48"/>
                          <w:szCs w:val="48"/>
                        </w:rPr>
                      </w:pPr>
                      <w:r w:rsidRPr="00C5064F">
                        <w:rPr>
                          <w:rFonts w:asciiTheme="majorHAnsi" w:hAnsiTheme="majorHAnsi"/>
                          <w:b/>
                          <w:sz w:val="48"/>
                          <w:szCs w:val="48"/>
                        </w:rPr>
                        <w:t>ADMINISTRACIÓN PÚBLICA NO FINANCIERA</w:t>
                      </w:r>
                    </w:p>
                    <w:p w:rsidR="009B4D20" w:rsidRPr="00C5064F" w:rsidRDefault="009B4D20" w:rsidP="00B12D09">
                      <w:pPr>
                        <w:rPr>
                          <w:rFonts w:asciiTheme="majorHAnsi" w:hAnsiTheme="majorHAnsi"/>
                          <w:b/>
                          <w:sz w:val="36"/>
                          <w:szCs w:val="36"/>
                        </w:rPr>
                      </w:pPr>
                    </w:p>
                    <w:p w:rsidR="009B4D20" w:rsidRPr="00C5064F" w:rsidRDefault="009B4D20" w:rsidP="00B12D09">
                      <w:pPr>
                        <w:rPr>
                          <w:rFonts w:asciiTheme="majorHAnsi" w:hAnsiTheme="majorHAnsi"/>
                          <w:b/>
                          <w:sz w:val="36"/>
                          <w:szCs w:val="36"/>
                        </w:rPr>
                      </w:pPr>
                      <w:r w:rsidRPr="00C5064F">
                        <w:rPr>
                          <w:rFonts w:asciiTheme="majorHAnsi" w:hAnsiTheme="majorHAnsi"/>
                          <w:b/>
                          <w:sz w:val="36"/>
                          <w:szCs w:val="36"/>
                        </w:rPr>
                        <w:t>PRIMER TRIMESTRE 20</w:t>
                      </w:r>
                      <w:r w:rsidR="003C1E4C" w:rsidRPr="00C5064F">
                        <w:rPr>
                          <w:rFonts w:asciiTheme="majorHAnsi" w:hAnsiTheme="majorHAnsi"/>
                          <w:b/>
                          <w:sz w:val="36"/>
                          <w:szCs w:val="36"/>
                        </w:rPr>
                        <w:t>20</w:t>
                      </w:r>
                    </w:p>
                  </w:txbxContent>
                </v:textbox>
                <w10:wrap anchorx="margin" anchory="margin"/>
              </v:shape>
            </w:pict>
          </mc:Fallback>
        </mc:AlternateContent>
      </w:r>
      <w:r>
        <w:rPr>
          <w:noProof/>
          <w:lang w:val="es-AR" w:eastAsia="es-AR"/>
        </w:rPr>
        <mc:AlternateContent>
          <mc:Choice Requires="wps">
            <w:drawing>
              <wp:anchor distT="0" distB="0" distL="114300" distR="114300" simplePos="0" relativeHeight="251667456" behindDoc="1" locked="0" layoutInCell="1" allowOverlap="1" wp14:anchorId="5AC5DE73" wp14:editId="73F3D0D1">
                <wp:simplePos x="0" y="0"/>
                <wp:positionH relativeFrom="margin">
                  <wp:posOffset>-118110</wp:posOffset>
                </wp:positionH>
                <wp:positionV relativeFrom="margin">
                  <wp:posOffset>3348355</wp:posOffset>
                </wp:positionV>
                <wp:extent cx="6537960" cy="6125845"/>
                <wp:effectExtent l="0" t="0" r="2540" b="8255"/>
                <wp:wrapNone/>
                <wp:docPr id="388" name="Rectángulo 388"/>
                <wp:cNvGraphicFramePr/>
                <a:graphic xmlns:a="http://schemas.openxmlformats.org/drawingml/2006/main">
                  <a:graphicData uri="http://schemas.microsoft.com/office/word/2010/wordprocessingShape">
                    <wps:wsp>
                      <wps:cNvSpPr/>
                      <wps:spPr>
                        <a:xfrm>
                          <a:off x="0" y="0"/>
                          <a:ext cx="6537960" cy="6125845"/>
                        </a:xfrm>
                        <a:prstGeom prst="rect">
                          <a:avLst/>
                        </a:prstGeom>
                        <a:solidFill>
                          <a:srgbClr val="ABD4ED"/>
                        </a:solidFill>
                        <a:ln>
                          <a:noFill/>
                        </a:ln>
                      </wps:spPr>
                      <wps:style>
                        <a:lnRef idx="2">
                          <a:schemeClr val="accent1">
                            <a:shade val="50000"/>
                          </a:schemeClr>
                        </a:lnRef>
                        <a:fillRef idx="1003">
                          <a:schemeClr val="lt1"/>
                        </a:fillRef>
                        <a:effectRef idx="0">
                          <a:schemeClr val="accent1"/>
                        </a:effectRef>
                        <a:fontRef idx="minor">
                          <a:schemeClr val="lt1"/>
                        </a:fontRef>
                      </wps:style>
                      <wps:txbx>
                        <w:txbxContent>
                          <w:p w:rsidR="009B4D20" w:rsidRPr="00B12D09" w:rsidRDefault="009B4D20" w:rsidP="00B12D09">
                            <w:pPr>
                              <w:jc w:val="center"/>
                              <w:rPr>
                                <w:lang w:val="es-A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0</wp14:pctHeight>
                </wp14:sizeRelV>
              </wp:anchor>
            </w:drawing>
          </mc:Choice>
          <mc:Fallback>
            <w:pict>
              <v:rect w14:anchorId="5AC5DE73" id="Rectángulo 388" o:spid="_x0000_s1027" style="position:absolute;left:0;text-align:left;margin-left:-9.3pt;margin-top:263.65pt;width:514.8pt;height:482.35pt;z-index:-251649024;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" fillcolor="#abd4ed" stroked="f" strokeweight="2pt">
                <v:textbox>
                  <w:txbxContent>
                    <w:p w:rsidR="009B4D20" w:rsidRPr="00B12D09" w:rsidRDefault="009B4D20" w:rsidP="00B12D09">
                      <w:pPr>
                        <w:jc w:val="center"/>
                        <w:rPr>
                          <w:lang w:val="es-AR"/>
                        </w:rPr>
                      </w:pPr>
                    </w:p>
                  </w:txbxContent>
                </v:textbox>
                <w10:wrap anchorx="margin" anchory="margin"/>
              </v:rect>
            </w:pict>
          </mc:Fallback>
        </mc:AlternateContent>
      </w:r>
      <w:r>
        <w:rPr>
          <w:noProof/>
          <w:lang w:val="es-AR" w:eastAsia="es-AR"/>
        </w:rPr>
        <mc:AlternateContent>
          <mc:Choice Requires="wps">
            <w:drawing>
              <wp:anchor distT="0" distB="0" distL="114300" distR="114300" simplePos="0" relativeHeight="251665408" behindDoc="1" locked="0" layoutInCell="1" allowOverlap="1" wp14:anchorId="6B9EE978" wp14:editId="4A6F9110">
                <wp:simplePos x="0" y="0"/>
                <wp:positionH relativeFrom="margin">
                  <wp:posOffset>-118110</wp:posOffset>
                </wp:positionH>
                <wp:positionV relativeFrom="margin">
                  <wp:posOffset>-291465</wp:posOffset>
                </wp:positionV>
                <wp:extent cx="6537960" cy="3638550"/>
                <wp:effectExtent l="0" t="0" r="2540" b="0"/>
                <wp:wrapNone/>
                <wp:docPr id="382"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638550"/>
                        </a:xfrm>
                        <a:prstGeom prst="rect">
                          <a:avLst/>
                        </a:prstGeom>
                        <a:solidFill>
                          <a:srgbClr val="3572A5"/>
                        </a:soli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p w:rsidR="004C3861" w:rsidRPr="004D166D" w:rsidRDefault="004C3861" w:rsidP="004C3861">
                            <w:pPr>
                              <w:pStyle w:val="Sinespaciado"/>
                              <w:spacing w:before="240" w:after="240"/>
                              <w:ind w:right="-2104"/>
                              <w:jc w:val="center"/>
                              <w:rPr>
                                <w:rFonts w:ascii="Trebuchet MS" w:hAnsi="Trebuchet MS"/>
                                <w:color w:val="FFFFFF"/>
                                <w:sz w:val="40"/>
                                <w:szCs w:val="40"/>
                              </w:rPr>
                            </w:pPr>
                          </w:p>
                          <w:p w:rsidR="004C3861" w:rsidRPr="004D166D" w:rsidRDefault="004C3861" w:rsidP="004C3861">
                            <w:pPr>
                              <w:pStyle w:val="Sinespaciado"/>
                              <w:spacing w:before="240" w:after="240"/>
                              <w:ind w:right="-2104"/>
                              <w:jc w:val="center"/>
                              <w:rPr>
                                <w:rFonts w:ascii="Trebuchet MS" w:hAnsi="Trebuchet MS"/>
                                <w:color w:val="FFFFFF"/>
                                <w:sz w:val="40"/>
                                <w:szCs w:val="40"/>
                              </w:rPr>
                            </w:pPr>
                          </w:p>
                          <w:p w:rsidR="004C3861" w:rsidRPr="004D166D" w:rsidRDefault="004C3861" w:rsidP="004C3861">
                            <w:pPr>
                              <w:pStyle w:val="Sinespaciado"/>
                              <w:spacing w:before="240" w:after="240"/>
                              <w:ind w:right="-2104"/>
                              <w:jc w:val="center"/>
                              <w:rPr>
                                <w:rFonts w:ascii="Trebuchet MS" w:hAnsi="Trebuchet MS"/>
                                <w:color w:val="FFFFFF"/>
                                <w:sz w:val="40"/>
                                <w:szCs w:val="40"/>
                              </w:rPr>
                            </w:pPr>
                          </w:p>
                          <w:p w:rsidR="004C3861" w:rsidRPr="004D166D" w:rsidRDefault="004C3861" w:rsidP="004C3861">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4C3861" w:rsidRPr="004D166D" w:rsidRDefault="004C3861" w:rsidP="004C3861">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4C3861" w:rsidRPr="004D166D" w:rsidRDefault="004C3861" w:rsidP="004C3861">
                            <w:pPr>
                              <w:pStyle w:val="Sinespaciado"/>
                              <w:ind w:right="-2104"/>
                              <w:jc w:val="center"/>
                              <w:rPr>
                                <w:rFonts w:ascii="Cambria" w:hAnsi="Cambria"/>
                                <w:color w:val="FFFFFF"/>
                                <w:sz w:val="64"/>
                                <w:szCs w:val="64"/>
                              </w:rPr>
                            </w:pPr>
                          </w:p>
                          <w:p w:rsidR="004C3861" w:rsidRPr="004D166D" w:rsidRDefault="004C3861" w:rsidP="004C3861">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0</wp14:pctHeight>
                </wp14:sizeRelV>
              </wp:anchor>
            </w:drawing>
          </mc:Choice>
          <mc:Fallback>
            <w:pict>
              <v:rect w14:anchorId="6B9EE978" id="Rectángulo 6" o:spid="_x0000_s1028" style="position:absolute;left:0;text-align:left;margin-left:-9.3pt;margin-top:-22.95pt;width:514.8pt;height:286.5pt;z-index:-251651072;visibility:visible;mso-wrap-style:square;mso-width-percent:1100;mso-height-percent:0;mso-wrap-distance-left:9pt;mso-wrap-distance-top:0;mso-wrap-distance-right:9pt;mso-wrap-distance-bottom:0;mso-position-horizontal:absolute;mso-position-horizontal-relative:margin;mso-position-vertical:absolute;mso-position-vertical-relative:margin;mso-width-percent:11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" fillcolor="#3572a5" stroked="f">
                <v:textbox inset="18pt,,108pt,7.2pt">
                  <w:txbxContent>
                    <w:p w:rsidR="004C3861" w:rsidRPr="004D166D" w:rsidRDefault="004C3861" w:rsidP="004C3861">
                      <w:pPr>
                        <w:pStyle w:val="Sinespaciado"/>
                        <w:spacing w:before="240" w:after="240"/>
                        <w:ind w:right="-2104"/>
                        <w:jc w:val="center"/>
                        <w:rPr>
                          <w:rFonts w:ascii="Trebuchet MS" w:hAnsi="Trebuchet MS"/>
                          <w:color w:val="FFFFFF"/>
                          <w:sz w:val="40"/>
                          <w:szCs w:val="40"/>
                        </w:rPr>
                      </w:pPr>
                    </w:p>
                    <w:p w:rsidR="004C3861" w:rsidRPr="004D166D" w:rsidRDefault="004C3861" w:rsidP="004C3861">
                      <w:pPr>
                        <w:pStyle w:val="Sinespaciado"/>
                        <w:spacing w:before="240" w:after="240"/>
                        <w:ind w:right="-2104"/>
                        <w:jc w:val="center"/>
                        <w:rPr>
                          <w:rFonts w:ascii="Trebuchet MS" w:hAnsi="Trebuchet MS"/>
                          <w:color w:val="FFFFFF"/>
                          <w:sz w:val="40"/>
                          <w:szCs w:val="40"/>
                        </w:rPr>
                      </w:pPr>
                    </w:p>
                    <w:p w:rsidR="004C3861" w:rsidRPr="004D166D" w:rsidRDefault="004C3861" w:rsidP="004C3861">
                      <w:pPr>
                        <w:pStyle w:val="Sinespaciado"/>
                        <w:spacing w:before="240" w:after="240"/>
                        <w:ind w:right="-2104"/>
                        <w:jc w:val="center"/>
                        <w:rPr>
                          <w:rFonts w:ascii="Trebuchet MS" w:hAnsi="Trebuchet MS"/>
                          <w:color w:val="FFFFFF"/>
                          <w:sz w:val="40"/>
                          <w:szCs w:val="40"/>
                        </w:rPr>
                      </w:pPr>
                    </w:p>
                    <w:p w:rsidR="004C3861" w:rsidRPr="004D166D" w:rsidRDefault="004C3861" w:rsidP="004C3861">
                      <w:pPr>
                        <w:pStyle w:val="Sinespaciado"/>
                        <w:ind w:right="-2104"/>
                        <w:jc w:val="center"/>
                        <w:rPr>
                          <w:rFonts w:ascii="Cambria" w:hAnsi="Cambria"/>
                          <w:color w:val="FFFFFF"/>
                          <w:sz w:val="64"/>
                          <w:szCs w:val="64"/>
                        </w:rPr>
                      </w:pPr>
                      <w:r w:rsidRPr="004D166D">
                        <w:rPr>
                          <w:rFonts w:ascii="Cambria" w:hAnsi="Cambria"/>
                          <w:color w:val="FFFFFF"/>
                          <w:sz w:val="64"/>
                          <w:szCs w:val="64"/>
                        </w:rPr>
                        <w:t>SITUACIÓN FISCAL</w:t>
                      </w:r>
                    </w:p>
                    <w:p w:rsidR="004C3861" w:rsidRPr="004D166D" w:rsidRDefault="004C3861" w:rsidP="004C3861">
                      <w:pPr>
                        <w:pStyle w:val="Sinespaciado"/>
                        <w:ind w:right="-2104"/>
                        <w:jc w:val="center"/>
                        <w:rPr>
                          <w:rFonts w:ascii="Cambria" w:hAnsi="Cambria"/>
                          <w:color w:val="FFFFFF"/>
                          <w:sz w:val="64"/>
                          <w:szCs w:val="64"/>
                        </w:rPr>
                      </w:pPr>
                      <w:r w:rsidRPr="004D166D">
                        <w:rPr>
                          <w:rFonts w:ascii="Cambria" w:hAnsi="Cambria"/>
                          <w:color w:val="FFFFFF"/>
                          <w:sz w:val="64"/>
                          <w:szCs w:val="64"/>
                        </w:rPr>
                        <w:t>PROVINCIAL</w:t>
                      </w:r>
                    </w:p>
                    <w:p w:rsidR="004C3861" w:rsidRPr="004D166D" w:rsidRDefault="004C3861" w:rsidP="004C3861">
                      <w:pPr>
                        <w:pStyle w:val="Sinespaciado"/>
                        <w:ind w:right="-2104"/>
                        <w:jc w:val="center"/>
                        <w:rPr>
                          <w:rFonts w:ascii="Cambria" w:hAnsi="Cambria"/>
                          <w:color w:val="FFFFFF"/>
                          <w:sz w:val="64"/>
                          <w:szCs w:val="64"/>
                        </w:rPr>
                      </w:pPr>
                    </w:p>
                    <w:p w:rsidR="004C3861" w:rsidRPr="004D166D" w:rsidRDefault="004C3861" w:rsidP="004C3861">
                      <w:pPr>
                        <w:pStyle w:val="Sinespaciado"/>
                        <w:ind w:right="-2104"/>
                        <w:jc w:val="center"/>
                        <w:rPr>
                          <w:rFonts w:ascii="Cambria" w:hAnsi="Cambria"/>
                          <w:color w:val="FFFFFF"/>
                          <w:sz w:val="64"/>
                          <w:szCs w:val="64"/>
                        </w:rPr>
                      </w:pPr>
                    </w:p>
                    <w:p w:rsidR="009B4D20" w:rsidRPr="003731D4" w:rsidRDefault="009B4D20" w:rsidP="00B12D09">
                      <w:pPr>
                        <w:pStyle w:val="Sinespaciado"/>
                        <w:rPr>
                          <w:rFonts w:asciiTheme="majorHAnsi" w:eastAsiaTheme="majorEastAsia" w:hAnsiTheme="majorHAnsi" w:cstheme="majorBidi"/>
                          <w:color w:val="FFFFFF" w:themeColor="background1"/>
                          <w:sz w:val="56"/>
                          <w:szCs w:val="56"/>
                        </w:rPr>
                      </w:pPr>
                    </w:p>
                  </w:txbxContent>
                </v:textbox>
                <w10:wrap anchorx="margin" anchory="margin"/>
              </v:rect>
            </w:pict>
          </mc:Fallback>
        </mc:AlternateContent>
      </w:r>
    </w:p>
    <w:p w:rsidR="00844952" w:rsidRDefault="00844952" w:rsidP="00844952"/>
    <w:p w:rsidR="00844952" w:rsidRDefault="00844952" w:rsidP="00844952"/>
    <w:p w:rsidR="00844952" w:rsidRDefault="00844952" w:rsidP="00844952"/>
    <w:p w:rsidR="00844952" w:rsidRDefault="00844952" w:rsidP="00844952"/>
    <w:p w:rsidR="00844952" w:rsidRDefault="00844952"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64D2B" w:rsidP="00844952"/>
    <w:p w:rsidR="00264D2B" w:rsidRDefault="002A6E4A" w:rsidP="00DE28F1">
      <w:r>
        <w:rPr>
          <w:rFonts w:ascii="Trebuchet MS" w:hAnsi="Trebuchet MS"/>
          <w:b/>
          <w:noProof/>
          <w:sz w:val="40"/>
          <w:szCs w:val="40"/>
          <w:u w:val="single"/>
          <w:lang w:val="es-AR" w:eastAsia="es-AR"/>
        </w:rPr>
        <mc:AlternateContent>
          <mc:Choice Requires="wps">
            <w:drawing>
              <wp:anchor distT="0" distB="0" distL="114300" distR="114300" simplePos="0" relativeHeight="251673600" behindDoc="0" locked="0" layoutInCell="1" allowOverlap="1" wp14:anchorId="320D6D9E" wp14:editId="48330B42">
                <wp:simplePos x="0" y="0"/>
                <wp:positionH relativeFrom="column">
                  <wp:posOffset>110490</wp:posOffset>
                </wp:positionH>
                <wp:positionV relativeFrom="paragraph">
                  <wp:posOffset>140335</wp:posOffset>
                </wp:positionV>
                <wp:extent cx="4810125" cy="1057275"/>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4810125" cy="1057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D6D9E" id="4 Cuadro de texto" o:spid="_x0000_s1029" type="#_x0000_t202" style="position:absolute;margin-left:8.7pt;margin-top:11.05pt;width:378.75pt;height:8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" filled="f" stroked="f" strokeweight=".5pt">
                <v:textbox>
                  <w:txbxContent>
                    <w:p w:rsidR="009B4D20" w:rsidRPr="00C5064F" w:rsidRDefault="00C5064F"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Dirección Nacional de Asuntos Provinciales</w:t>
                      </w:r>
                    </w:p>
                    <w:p w:rsidR="00C5064F" w:rsidRPr="00C5064F" w:rsidRDefault="00C5064F" w:rsidP="00B12D09">
                      <w:pPr>
                        <w:rPr>
                          <w:rFonts w:asciiTheme="majorHAnsi" w:eastAsia="Dotum" w:hAnsiTheme="majorHAnsi"/>
                          <w:b/>
                          <w:sz w:val="16"/>
                          <w:szCs w:val="16"/>
                          <w:lang w:val="es-AR"/>
                        </w:rPr>
                      </w:pPr>
                    </w:p>
                    <w:p w:rsidR="009B4D20" w:rsidRPr="00C5064F" w:rsidRDefault="009B4D20" w:rsidP="00B12D09">
                      <w:pPr>
                        <w:rPr>
                          <w:rFonts w:asciiTheme="majorHAnsi" w:eastAsia="Dotum" w:hAnsiTheme="majorHAnsi"/>
                          <w:b/>
                          <w:sz w:val="28"/>
                          <w:szCs w:val="28"/>
                          <w:lang w:val="es-AR"/>
                        </w:rPr>
                      </w:pPr>
                      <w:r w:rsidRPr="00C5064F">
                        <w:rPr>
                          <w:rFonts w:asciiTheme="majorHAnsi" w:eastAsia="Dotum" w:hAnsiTheme="majorHAnsi"/>
                          <w:b/>
                          <w:sz w:val="28"/>
                          <w:szCs w:val="28"/>
                          <w:lang w:val="es-AR"/>
                        </w:rPr>
                        <w:t>SECRETARÍA DE HACIENDA</w:t>
                      </w:r>
                    </w:p>
                    <w:p w:rsidR="009B4D20" w:rsidRPr="00C5064F" w:rsidRDefault="009B4D20" w:rsidP="00B12D09">
                      <w:pPr>
                        <w:rPr>
                          <w:rFonts w:asciiTheme="majorHAnsi" w:eastAsia="Dotum" w:hAnsiTheme="majorHAnsi"/>
                          <w:b/>
                          <w:sz w:val="16"/>
                          <w:szCs w:val="16"/>
                          <w:lang w:val="es-AR"/>
                        </w:rPr>
                      </w:pPr>
                    </w:p>
                    <w:p w:rsidR="009B4D20" w:rsidRPr="005873D1" w:rsidRDefault="009B4D20" w:rsidP="00B12D09">
                      <w:pPr>
                        <w:rPr>
                          <w:rFonts w:asciiTheme="majorHAnsi" w:eastAsia="Dotum" w:hAnsiTheme="majorHAnsi"/>
                          <w:b/>
                          <w:caps/>
                          <w:sz w:val="28"/>
                          <w:szCs w:val="28"/>
                          <w:lang w:val="es-AR"/>
                        </w:rPr>
                      </w:pPr>
                      <w:r w:rsidRPr="005873D1">
                        <w:rPr>
                          <w:rFonts w:asciiTheme="majorHAnsi" w:eastAsia="Dotum" w:hAnsiTheme="majorHAnsi"/>
                          <w:b/>
                          <w:caps/>
                          <w:sz w:val="28"/>
                          <w:szCs w:val="28"/>
                          <w:lang w:val="es-AR"/>
                        </w:rPr>
                        <w:t xml:space="preserve">MINISTERIO DE </w:t>
                      </w:r>
                      <w:r w:rsidR="005873D1" w:rsidRPr="005873D1">
                        <w:rPr>
                          <w:rFonts w:asciiTheme="majorHAnsi" w:eastAsia="Dotum" w:hAnsiTheme="majorHAnsi"/>
                          <w:b/>
                          <w:caps/>
                          <w:sz w:val="28"/>
                          <w:szCs w:val="28"/>
                          <w:lang w:val="es-AR"/>
                        </w:rPr>
                        <w:t>Economía</w:t>
                      </w:r>
                    </w:p>
                  </w:txbxContent>
                </v:textbox>
              </v:shape>
            </w:pict>
          </mc:Fallback>
        </mc:AlternateContent>
      </w:r>
    </w:p>
    <w:p w:rsidR="00264D2B" w:rsidRDefault="00264D2B" w:rsidP="00844952"/>
    <w:p w:rsidR="00264D2B" w:rsidRDefault="00264D2B" w:rsidP="00844952"/>
    <w:p w:rsidR="00264D2B" w:rsidRDefault="00264D2B" w:rsidP="00844952"/>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7F4131" w:rsidRDefault="007F4131" w:rsidP="00264D2B">
      <w:pPr>
        <w:jc w:val="center"/>
        <w:rPr>
          <w:rFonts w:asciiTheme="minorHAnsi" w:hAnsiTheme="minorHAnsi"/>
          <w:b/>
          <w:sz w:val="32"/>
          <w:szCs w:val="32"/>
        </w:rPr>
      </w:pPr>
    </w:p>
    <w:p w:rsidR="00264D2B" w:rsidRDefault="00264D2B" w:rsidP="00264D2B">
      <w:pPr>
        <w:jc w:val="center"/>
        <w:rPr>
          <w:rFonts w:asciiTheme="minorHAnsi" w:hAnsiTheme="minorHAnsi"/>
          <w:b/>
          <w:sz w:val="32"/>
          <w:szCs w:val="32"/>
        </w:rPr>
      </w:pPr>
      <w:r w:rsidRPr="00465470">
        <w:rPr>
          <w:rFonts w:asciiTheme="minorHAnsi" w:hAnsiTheme="minorHAnsi"/>
          <w:b/>
          <w:sz w:val="32"/>
          <w:szCs w:val="32"/>
        </w:rPr>
        <w:t>INDICE</w:t>
      </w:r>
    </w:p>
    <w:p w:rsidR="007F4131" w:rsidRPr="00465470" w:rsidRDefault="007F4131" w:rsidP="00264D2B">
      <w:pPr>
        <w:jc w:val="center"/>
        <w:rPr>
          <w:rFonts w:asciiTheme="minorHAnsi" w:hAnsiTheme="minorHAnsi"/>
          <w:b/>
          <w:sz w:val="32"/>
          <w:szCs w:val="32"/>
        </w:rPr>
      </w:pPr>
    </w:p>
    <w:p w:rsidR="006C1F58" w:rsidRDefault="006C1F58" w:rsidP="006C1F58"/>
    <w:p w:rsidR="00B61E6C" w:rsidRPr="004C3861" w:rsidRDefault="006C1F58">
      <w:pPr>
        <w:pStyle w:val="TDC1"/>
        <w:rPr>
          <w:rFonts w:asciiTheme="minorHAnsi" w:eastAsiaTheme="minorEastAsia" w:hAnsiTheme="minorHAnsi" w:cstheme="minorBidi"/>
          <w:b w:val="0"/>
          <w:iCs w:val="0"/>
          <w:color w:val="auto"/>
          <w:sz w:val="22"/>
          <w:szCs w:val="22"/>
          <w:lang w:val="es-AR" w:eastAsia="es-AR"/>
        </w:rPr>
      </w:pPr>
      <w:r w:rsidRPr="004C3861">
        <w:rPr>
          <w:rFonts w:asciiTheme="minorHAnsi" w:hAnsiTheme="minorHAnsi"/>
          <w:bCs/>
          <w:i/>
          <w:color w:val="auto"/>
          <w:sz w:val="24"/>
          <w:szCs w:val="24"/>
          <w:u w:val="single"/>
        </w:rPr>
        <w:fldChar w:fldCharType="begin"/>
      </w:r>
      <w:r w:rsidRPr="004C3861">
        <w:rPr>
          <w:color w:val="auto"/>
          <w:u w:val="single"/>
        </w:rPr>
        <w:instrText xml:space="preserve"> TOC \o "1-3" \h \z \u </w:instrText>
      </w:r>
      <w:r w:rsidRPr="004C3861">
        <w:rPr>
          <w:rFonts w:asciiTheme="minorHAnsi" w:hAnsiTheme="minorHAnsi"/>
          <w:bCs/>
          <w:i/>
          <w:color w:val="auto"/>
          <w:sz w:val="24"/>
          <w:szCs w:val="24"/>
          <w:u w:val="single"/>
        </w:rPr>
        <w:fldChar w:fldCharType="separate"/>
      </w:r>
      <w:hyperlink w:anchor="_Toc3367369" w:history="1">
        <w:r w:rsidR="00B61E6C" w:rsidRPr="004C3861">
          <w:rPr>
            <w:rStyle w:val="Hipervnculo"/>
            <w:color w:val="auto"/>
          </w:rPr>
          <w:t>1. INTRODUCCIÓN</w:t>
        </w:r>
        <w:r w:rsidR="00B61E6C" w:rsidRPr="004C3861">
          <w:rPr>
            <w:webHidden/>
            <w:color w:val="auto"/>
          </w:rPr>
          <w:tab/>
        </w:r>
        <w:r w:rsidR="00B61E6C" w:rsidRPr="004C3861">
          <w:rPr>
            <w:webHidden/>
            <w:color w:val="auto"/>
          </w:rPr>
          <w:fldChar w:fldCharType="begin"/>
        </w:r>
        <w:r w:rsidR="00B61E6C" w:rsidRPr="004C3861">
          <w:rPr>
            <w:webHidden/>
            <w:color w:val="auto"/>
          </w:rPr>
          <w:instrText xml:space="preserve"> PAGEREF _Toc3367369 \h </w:instrText>
        </w:r>
        <w:r w:rsidR="00B61E6C" w:rsidRPr="004C3861">
          <w:rPr>
            <w:webHidden/>
            <w:color w:val="auto"/>
          </w:rPr>
        </w:r>
        <w:r w:rsidR="00B61E6C" w:rsidRPr="004C3861">
          <w:rPr>
            <w:webHidden/>
            <w:color w:val="auto"/>
          </w:rPr>
          <w:fldChar w:fldCharType="separate"/>
        </w:r>
        <w:r w:rsidR="00414D14">
          <w:rPr>
            <w:webHidden/>
            <w:color w:val="auto"/>
          </w:rPr>
          <w:t>2</w:t>
        </w:r>
        <w:r w:rsidR="00B61E6C" w:rsidRPr="004C3861">
          <w:rPr>
            <w:webHidden/>
            <w:color w:val="auto"/>
          </w:rPr>
          <w:fldChar w:fldCharType="end"/>
        </w:r>
      </w:hyperlink>
    </w:p>
    <w:p w:rsidR="00B61E6C" w:rsidRPr="004C3861" w:rsidRDefault="00745817">
      <w:pPr>
        <w:pStyle w:val="TDC1"/>
        <w:rPr>
          <w:rFonts w:asciiTheme="minorHAnsi" w:eastAsiaTheme="minorEastAsia" w:hAnsiTheme="minorHAnsi" w:cstheme="minorBidi"/>
          <w:b w:val="0"/>
          <w:iCs w:val="0"/>
          <w:color w:val="auto"/>
          <w:sz w:val="22"/>
          <w:szCs w:val="22"/>
          <w:lang w:val="es-AR" w:eastAsia="es-AR"/>
        </w:rPr>
      </w:pPr>
      <w:hyperlink w:anchor="_Toc3367370" w:history="1">
        <w:r w:rsidR="00B61E6C" w:rsidRPr="004C3861">
          <w:rPr>
            <w:rStyle w:val="Hipervnculo"/>
            <w:color w:val="auto"/>
          </w:rPr>
          <w:t>2. RESULTADOS FISCALES</w:t>
        </w:r>
        <w:r w:rsidR="00B61E6C" w:rsidRPr="004C3861">
          <w:rPr>
            <w:webHidden/>
            <w:color w:val="auto"/>
          </w:rPr>
          <w:tab/>
        </w:r>
        <w:r w:rsidR="00B61E6C" w:rsidRPr="004C3861">
          <w:rPr>
            <w:webHidden/>
            <w:color w:val="auto"/>
          </w:rPr>
          <w:fldChar w:fldCharType="begin"/>
        </w:r>
        <w:r w:rsidR="00B61E6C" w:rsidRPr="004C3861">
          <w:rPr>
            <w:webHidden/>
            <w:color w:val="auto"/>
          </w:rPr>
          <w:instrText xml:space="preserve"> PAGEREF _Toc3367370 \h </w:instrText>
        </w:r>
        <w:r w:rsidR="00B61E6C" w:rsidRPr="004C3861">
          <w:rPr>
            <w:webHidden/>
            <w:color w:val="auto"/>
          </w:rPr>
        </w:r>
        <w:r w:rsidR="00B61E6C" w:rsidRPr="004C3861">
          <w:rPr>
            <w:webHidden/>
            <w:color w:val="auto"/>
          </w:rPr>
          <w:fldChar w:fldCharType="separate"/>
        </w:r>
        <w:r w:rsidR="00414D14">
          <w:rPr>
            <w:webHidden/>
            <w:color w:val="auto"/>
          </w:rPr>
          <w:t>3</w:t>
        </w:r>
        <w:r w:rsidR="00B61E6C" w:rsidRPr="004C3861">
          <w:rPr>
            <w:webHidden/>
            <w:color w:val="auto"/>
          </w:rPr>
          <w:fldChar w:fldCharType="end"/>
        </w:r>
      </w:hyperlink>
    </w:p>
    <w:p w:rsidR="00B61E6C" w:rsidRPr="004C3861" w:rsidRDefault="00745817">
      <w:pPr>
        <w:pStyle w:val="TDC1"/>
        <w:rPr>
          <w:rFonts w:asciiTheme="minorHAnsi" w:eastAsiaTheme="minorEastAsia" w:hAnsiTheme="minorHAnsi" w:cstheme="minorBidi"/>
          <w:b w:val="0"/>
          <w:iCs w:val="0"/>
          <w:color w:val="auto"/>
          <w:sz w:val="22"/>
          <w:szCs w:val="22"/>
          <w:lang w:val="es-AR" w:eastAsia="es-AR"/>
        </w:rPr>
      </w:pPr>
      <w:hyperlink w:anchor="_Toc3367371" w:history="1">
        <w:r w:rsidR="00B61E6C" w:rsidRPr="004C3861">
          <w:rPr>
            <w:rStyle w:val="Hipervnculo"/>
            <w:color w:val="auto"/>
          </w:rPr>
          <w:t>3. RECURSOS</w:t>
        </w:r>
        <w:r w:rsidR="00B61E6C" w:rsidRPr="004C3861">
          <w:rPr>
            <w:webHidden/>
            <w:color w:val="auto"/>
          </w:rPr>
          <w:tab/>
        </w:r>
        <w:r w:rsidR="00B61E6C" w:rsidRPr="004C3861">
          <w:rPr>
            <w:webHidden/>
            <w:color w:val="auto"/>
          </w:rPr>
          <w:fldChar w:fldCharType="begin"/>
        </w:r>
        <w:r w:rsidR="00B61E6C" w:rsidRPr="004C3861">
          <w:rPr>
            <w:webHidden/>
            <w:color w:val="auto"/>
          </w:rPr>
          <w:instrText xml:space="preserve"> PAGEREF _Toc3367371 \h </w:instrText>
        </w:r>
        <w:r w:rsidR="00B61E6C" w:rsidRPr="004C3861">
          <w:rPr>
            <w:webHidden/>
            <w:color w:val="auto"/>
          </w:rPr>
        </w:r>
        <w:r w:rsidR="00B61E6C" w:rsidRPr="004C3861">
          <w:rPr>
            <w:webHidden/>
            <w:color w:val="auto"/>
          </w:rPr>
          <w:fldChar w:fldCharType="separate"/>
        </w:r>
        <w:r w:rsidR="00414D14">
          <w:rPr>
            <w:webHidden/>
            <w:color w:val="auto"/>
          </w:rPr>
          <w:t>3</w:t>
        </w:r>
        <w:r w:rsidR="00B61E6C" w:rsidRPr="004C3861">
          <w:rPr>
            <w:webHidden/>
            <w:color w:val="auto"/>
          </w:rPr>
          <w:fldChar w:fldCharType="end"/>
        </w:r>
      </w:hyperlink>
    </w:p>
    <w:p w:rsidR="00B61E6C" w:rsidRPr="004C3861" w:rsidRDefault="00745817">
      <w:pPr>
        <w:pStyle w:val="TDC1"/>
        <w:rPr>
          <w:rFonts w:asciiTheme="minorHAnsi" w:eastAsiaTheme="minorEastAsia" w:hAnsiTheme="minorHAnsi" w:cstheme="minorBidi"/>
          <w:b w:val="0"/>
          <w:iCs w:val="0"/>
          <w:color w:val="auto"/>
          <w:sz w:val="22"/>
          <w:szCs w:val="22"/>
          <w:lang w:val="es-AR" w:eastAsia="es-AR"/>
        </w:rPr>
      </w:pPr>
      <w:hyperlink w:anchor="_Toc3367372" w:history="1">
        <w:r w:rsidR="00B61E6C" w:rsidRPr="004C3861">
          <w:rPr>
            <w:rStyle w:val="Hipervnculo"/>
            <w:color w:val="auto"/>
          </w:rPr>
          <w:t>4. GASTOS</w:t>
        </w:r>
        <w:r w:rsidR="00B61E6C" w:rsidRPr="004C3861">
          <w:rPr>
            <w:webHidden/>
            <w:color w:val="auto"/>
          </w:rPr>
          <w:tab/>
        </w:r>
        <w:r w:rsidR="00B61E6C" w:rsidRPr="004C3861">
          <w:rPr>
            <w:webHidden/>
            <w:color w:val="auto"/>
          </w:rPr>
          <w:fldChar w:fldCharType="begin"/>
        </w:r>
        <w:r w:rsidR="00B61E6C" w:rsidRPr="004C3861">
          <w:rPr>
            <w:webHidden/>
            <w:color w:val="auto"/>
          </w:rPr>
          <w:instrText xml:space="preserve"> PAGEREF _Toc3367372 \h </w:instrText>
        </w:r>
        <w:r w:rsidR="00B61E6C" w:rsidRPr="004C3861">
          <w:rPr>
            <w:webHidden/>
            <w:color w:val="auto"/>
          </w:rPr>
        </w:r>
        <w:r w:rsidR="00B61E6C" w:rsidRPr="004C3861">
          <w:rPr>
            <w:webHidden/>
            <w:color w:val="auto"/>
          </w:rPr>
          <w:fldChar w:fldCharType="separate"/>
        </w:r>
        <w:r w:rsidR="00414D14">
          <w:rPr>
            <w:webHidden/>
            <w:color w:val="auto"/>
          </w:rPr>
          <w:t>7</w:t>
        </w:r>
        <w:r w:rsidR="00B61E6C" w:rsidRPr="004C3861">
          <w:rPr>
            <w:webHidden/>
            <w:color w:val="auto"/>
          </w:rPr>
          <w:fldChar w:fldCharType="end"/>
        </w:r>
      </w:hyperlink>
    </w:p>
    <w:p w:rsidR="00B61E6C" w:rsidRPr="004C3861" w:rsidRDefault="00745817">
      <w:pPr>
        <w:pStyle w:val="TDC3"/>
        <w:rPr>
          <w:rFonts w:asciiTheme="minorHAnsi" w:eastAsiaTheme="minorEastAsia" w:hAnsiTheme="minorHAnsi" w:cstheme="minorBidi"/>
          <w:b w:val="0"/>
          <w:noProof/>
          <w:color w:val="auto"/>
          <w:kern w:val="0"/>
          <w:sz w:val="22"/>
          <w:szCs w:val="22"/>
          <w:lang w:val="es-AR" w:eastAsia="es-AR"/>
        </w:rPr>
      </w:pPr>
      <w:hyperlink w:anchor="_Toc3367373" w:history="1">
        <w:r w:rsidR="00B61E6C" w:rsidRPr="004C3861">
          <w:rPr>
            <w:rStyle w:val="Hipervnculo"/>
            <w:noProof/>
            <w:color w:val="auto"/>
          </w:rPr>
          <w:t>4.1. Análisis del Gasto según Clasificación Económica y por Objeto</w:t>
        </w:r>
        <w:r w:rsidR="00B61E6C" w:rsidRPr="004C3861">
          <w:rPr>
            <w:noProof/>
            <w:webHidden/>
            <w:color w:val="auto"/>
          </w:rPr>
          <w:tab/>
        </w:r>
        <w:r w:rsidR="00B61E6C" w:rsidRPr="004C3861">
          <w:rPr>
            <w:noProof/>
            <w:webHidden/>
            <w:color w:val="auto"/>
          </w:rPr>
          <w:fldChar w:fldCharType="begin"/>
        </w:r>
        <w:r w:rsidR="00B61E6C" w:rsidRPr="004C3861">
          <w:rPr>
            <w:noProof/>
            <w:webHidden/>
            <w:color w:val="auto"/>
          </w:rPr>
          <w:instrText xml:space="preserve"> PAGEREF _Toc3367373 \h </w:instrText>
        </w:r>
        <w:r w:rsidR="00B61E6C" w:rsidRPr="004C3861">
          <w:rPr>
            <w:noProof/>
            <w:webHidden/>
            <w:color w:val="auto"/>
          </w:rPr>
        </w:r>
        <w:r w:rsidR="00B61E6C" w:rsidRPr="004C3861">
          <w:rPr>
            <w:noProof/>
            <w:webHidden/>
            <w:color w:val="auto"/>
          </w:rPr>
          <w:fldChar w:fldCharType="separate"/>
        </w:r>
        <w:r w:rsidR="00414D14">
          <w:rPr>
            <w:noProof/>
            <w:webHidden/>
            <w:color w:val="auto"/>
          </w:rPr>
          <w:t>7</w:t>
        </w:r>
        <w:r w:rsidR="00B61E6C" w:rsidRPr="004C3861">
          <w:rPr>
            <w:noProof/>
            <w:webHidden/>
            <w:color w:val="auto"/>
          </w:rPr>
          <w:fldChar w:fldCharType="end"/>
        </w:r>
      </w:hyperlink>
    </w:p>
    <w:p w:rsidR="00B61E6C" w:rsidRPr="004C3861" w:rsidRDefault="00745817">
      <w:pPr>
        <w:pStyle w:val="TDC3"/>
        <w:rPr>
          <w:rFonts w:asciiTheme="minorHAnsi" w:eastAsiaTheme="minorEastAsia" w:hAnsiTheme="minorHAnsi" w:cstheme="minorBidi"/>
          <w:b w:val="0"/>
          <w:noProof/>
          <w:color w:val="auto"/>
          <w:kern w:val="0"/>
          <w:sz w:val="22"/>
          <w:szCs w:val="22"/>
          <w:lang w:val="es-AR" w:eastAsia="es-AR"/>
        </w:rPr>
      </w:pPr>
      <w:hyperlink w:anchor="_Toc3367374" w:history="1">
        <w:r w:rsidR="00B61E6C" w:rsidRPr="004C3861">
          <w:rPr>
            <w:rStyle w:val="Hipervnculo"/>
            <w:noProof/>
            <w:color w:val="auto"/>
          </w:rPr>
          <w:t>4.2. Análisis del Gasto según Clasificación por Finalidad y Función</w:t>
        </w:r>
        <w:r w:rsidR="00B61E6C" w:rsidRPr="004C3861">
          <w:rPr>
            <w:noProof/>
            <w:webHidden/>
            <w:color w:val="auto"/>
          </w:rPr>
          <w:tab/>
        </w:r>
        <w:r w:rsidR="00B61E6C" w:rsidRPr="004C3861">
          <w:rPr>
            <w:noProof/>
            <w:webHidden/>
            <w:color w:val="auto"/>
          </w:rPr>
          <w:fldChar w:fldCharType="begin"/>
        </w:r>
        <w:r w:rsidR="00B61E6C" w:rsidRPr="004C3861">
          <w:rPr>
            <w:noProof/>
            <w:webHidden/>
            <w:color w:val="auto"/>
          </w:rPr>
          <w:instrText xml:space="preserve"> PAGEREF _Toc3367374 \h </w:instrText>
        </w:r>
        <w:r w:rsidR="00B61E6C" w:rsidRPr="004C3861">
          <w:rPr>
            <w:noProof/>
            <w:webHidden/>
            <w:color w:val="auto"/>
          </w:rPr>
        </w:r>
        <w:r w:rsidR="00B61E6C" w:rsidRPr="004C3861">
          <w:rPr>
            <w:noProof/>
            <w:webHidden/>
            <w:color w:val="auto"/>
          </w:rPr>
          <w:fldChar w:fldCharType="separate"/>
        </w:r>
        <w:r w:rsidR="00414D14">
          <w:rPr>
            <w:noProof/>
            <w:webHidden/>
            <w:color w:val="auto"/>
          </w:rPr>
          <w:t>11</w:t>
        </w:r>
        <w:r w:rsidR="00B61E6C" w:rsidRPr="004C3861">
          <w:rPr>
            <w:noProof/>
            <w:webHidden/>
            <w:color w:val="auto"/>
          </w:rPr>
          <w:fldChar w:fldCharType="end"/>
        </w:r>
      </w:hyperlink>
    </w:p>
    <w:p w:rsidR="00B61E6C" w:rsidRPr="004C3861" w:rsidRDefault="00745817">
      <w:pPr>
        <w:pStyle w:val="TDC1"/>
        <w:rPr>
          <w:rFonts w:asciiTheme="minorHAnsi" w:eastAsiaTheme="minorEastAsia" w:hAnsiTheme="minorHAnsi" w:cstheme="minorBidi"/>
          <w:b w:val="0"/>
          <w:iCs w:val="0"/>
          <w:color w:val="auto"/>
          <w:sz w:val="22"/>
          <w:szCs w:val="22"/>
          <w:lang w:val="es-AR" w:eastAsia="es-AR"/>
        </w:rPr>
      </w:pPr>
      <w:hyperlink w:anchor="_Toc3367375" w:history="1">
        <w:r w:rsidR="00B61E6C" w:rsidRPr="004C3861">
          <w:rPr>
            <w:rStyle w:val="Hipervnculo"/>
            <w:color w:val="auto"/>
          </w:rPr>
          <w:t>ANEXO: Esquema AIF</w:t>
        </w:r>
        <w:r w:rsidR="00B61E6C" w:rsidRPr="004C3861">
          <w:rPr>
            <w:webHidden/>
            <w:color w:val="auto"/>
          </w:rPr>
          <w:tab/>
        </w:r>
        <w:r w:rsidR="00B61E6C" w:rsidRPr="004C3861">
          <w:rPr>
            <w:webHidden/>
            <w:color w:val="auto"/>
          </w:rPr>
          <w:fldChar w:fldCharType="begin"/>
        </w:r>
        <w:r w:rsidR="00B61E6C" w:rsidRPr="004C3861">
          <w:rPr>
            <w:webHidden/>
            <w:color w:val="auto"/>
          </w:rPr>
          <w:instrText xml:space="preserve"> PAGEREF _Toc3367375 \h </w:instrText>
        </w:r>
        <w:r w:rsidR="00B61E6C" w:rsidRPr="004C3861">
          <w:rPr>
            <w:webHidden/>
            <w:color w:val="auto"/>
          </w:rPr>
        </w:r>
        <w:r w:rsidR="00B61E6C" w:rsidRPr="004C3861">
          <w:rPr>
            <w:webHidden/>
            <w:color w:val="auto"/>
          </w:rPr>
          <w:fldChar w:fldCharType="separate"/>
        </w:r>
        <w:r w:rsidR="00414D14">
          <w:rPr>
            <w:webHidden/>
            <w:color w:val="auto"/>
          </w:rPr>
          <w:t>13</w:t>
        </w:r>
        <w:r w:rsidR="00B61E6C" w:rsidRPr="004C3861">
          <w:rPr>
            <w:webHidden/>
            <w:color w:val="auto"/>
          </w:rPr>
          <w:fldChar w:fldCharType="end"/>
        </w:r>
      </w:hyperlink>
    </w:p>
    <w:p w:rsidR="006C1F58" w:rsidRPr="00FF6D45" w:rsidRDefault="006C1F58" w:rsidP="006C1F58">
      <w:pPr>
        <w:tabs>
          <w:tab w:val="right" w:leader="underscore" w:pos="8647"/>
        </w:tabs>
        <w:suppressAutoHyphens/>
        <w:spacing w:before="240" w:after="240" w:line="480" w:lineRule="auto"/>
        <w:ind w:right="-142"/>
        <w:jc w:val="center"/>
        <w:rPr>
          <w:rFonts w:ascii="Trebuchet MS" w:hAnsi="Trebuchet MS"/>
          <w:b/>
          <w:sz w:val="28"/>
          <w:szCs w:val="28"/>
          <w:u w:val="single"/>
        </w:rPr>
        <w:sectPr w:rsidR="006C1F58" w:rsidRPr="00FF6D45" w:rsidSect="006C1F58">
          <w:type w:val="continuous"/>
          <w:pgSz w:w="11907" w:h="16839" w:code="9"/>
          <w:pgMar w:top="1417" w:right="1559" w:bottom="1417" w:left="1701" w:header="567" w:footer="567" w:gutter="0"/>
          <w:pgNumType w:start="1"/>
          <w:cols w:space="708"/>
          <w:titlePg/>
          <w:docGrid w:linePitch="360"/>
        </w:sectPr>
      </w:pPr>
      <w:r w:rsidRPr="004C3861">
        <w:rPr>
          <w:rFonts w:ascii="Trebuchet MS" w:hAnsi="Trebuchet MS"/>
          <w:b/>
          <w:sz w:val="28"/>
          <w:szCs w:val="28"/>
          <w:u w:val="single"/>
        </w:rPr>
        <w:fldChar w:fldCharType="end"/>
      </w:r>
    </w:p>
    <w:p w:rsidR="006F4161" w:rsidRPr="004C3861" w:rsidRDefault="006F4161" w:rsidP="00844952">
      <w:pPr>
        <w:rPr>
          <w:rFonts w:asciiTheme="minorHAnsi" w:hAnsiTheme="minorHAnsi"/>
          <w:b/>
        </w:rPr>
      </w:pPr>
    </w:p>
    <w:bookmarkStart w:id="0" w:name="_Toc456716570"/>
    <w:p w:rsidR="00B137E3" w:rsidRPr="004C3861" w:rsidRDefault="006F4161" w:rsidP="0025674A">
      <w:pPr>
        <w:rPr>
          <w:b/>
        </w:rPr>
        <w:sectPr w:rsidR="00B137E3" w:rsidRPr="004C3861" w:rsidSect="00590BFD">
          <w:type w:val="continuous"/>
          <w:pgSz w:w="11907" w:h="16839" w:code="9"/>
          <w:pgMar w:top="1417" w:right="1842" w:bottom="1417" w:left="1701" w:header="567" w:footer="567" w:gutter="0"/>
          <w:cols w:space="708"/>
          <w:titlePg/>
          <w:docGrid w:linePitch="360"/>
        </w:sectPr>
      </w:pPr>
      <w:r w:rsidRPr="004C3861">
        <w:rPr>
          <w:b/>
        </w:rPr>
        <w:fldChar w:fldCharType="begin"/>
      </w:r>
      <w:r w:rsidRPr="004C3861">
        <w:rPr>
          <w:b/>
        </w:rPr>
        <w:instrText xml:space="preserve"> TOC \o "1-1" \p " " \h \z \u </w:instrText>
      </w:r>
      <w:r w:rsidRPr="004C3861">
        <w:rPr>
          <w:b/>
        </w:rPr>
        <w:fldChar w:fldCharType="end"/>
      </w:r>
      <w:r w:rsidR="0025674A" w:rsidRPr="004C3861">
        <w:rPr>
          <w:b/>
        </w:rPr>
        <w:fldChar w:fldCharType="begin"/>
      </w:r>
      <w:r w:rsidR="0025674A" w:rsidRPr="004C3861">
        <w:rPr>
          <w:b/>
        </w:rPr>
        <w:instrText xml:space="preserve"> INDEX \c "2" \z "11274" </w:instrText>
      </w:r>
      <w:r w:rsidR="0025674A" w:rsidRPr="004C3861">
        <w:rPr>
          <w:b/>
        </w:rPr>
        <w:fldChar w:fldCharType="end"/>
      </w:r>
    </w:p>
    <w:p w:rsidR="00371929" w:rsidRPr="006F4161" w:rsidRDefault="00B61E6C" w:rsidP="00B61E6C">
      <w:pPr>
        <w:pStyle w:val="Ttulo1"/>
        <w:numPr>
          <w:ilvl w:val="0"/>
          <w:numId w:val="0"/>
        </w:numPr>
      </w:pPr>
      <w:bookmarkStart w:id="1" w:name="_Toc500246795"/>
      <w:bookmarkStart w:id="2" w:name="_Toc532574485"/>
      <w:bookmarkStart w:id="3" w:name="_Toc3367369"/>
      <w:r>
        <w:lastRenderedPageBreak/>
        <w:t xml:space="preserve">1. </w:t>
      </w:r>
      <w:r w:rsidR="00862BDF" w:rsidRPr="006F4161">
        <w:t>INTRODUCCIÓN</w:t>
      </w:r>
      <w:bookmarkEnd w:id="0"/>
      <w:bookmarkEnd w:id="1"/>
      <w:bookmarkEnd w:id="2"/>
      <w:bookmarkEnd w:id="3"/>
    </w:p>
    <w:p w:rsidR="00125230" w:rsidRPr="007A06DC" w:rsidRDefault="00125230" w:rsidP="00B137E3">
      <w:pPr>
        <w:pBdr>
          <w:top w:val="single" w:sz="4" w:space="1" w:color="auto"/>
        </w:pBdr>
        <w:suppressAutoHyphens/>
        <w:ind w:right="142"/>
        <w:jc w:val="both"/>
        <w:rPr>
          <w:rFonts w:ascii="Calibri" w:hAnsi="Calibri"/>
        </w:rPr>
      </w:pPr>
    </w:p>
    <w:p w:rsidR="00D64398" w:rsidRPr="00696671" w:rsidRDefault="00D64398" w:rsidP="00B64D16">
      <w:pPr>
        <w:suppressAutoHyphens/>
        <w:ind w:right="142"/>
        <w:jc w:val="both"/>
        <w:rPr>
          <w:rFonts w:asciiTheme="minorHAnsi" w:hAnsiTheme="minorHAnsi"/>
        </w:rPr>
      </w:pPr>
      <w:bookmarkStart w:id="4" w:name="_Toc306295168"/>
      <w:r w:rsidRPr="00696671">
        <w:rPr>
          <w:rFonts w:asciiTheme="minorHAnsi" w:hAnsiTheme="minorHAnsi"/>
        </w:rPr>
        <w:t xml:space="preserve">En el presente informe se </w:t>
      </w:r>
      <w:r w:rsidR="00384E65" w:rsidRPr="00696671">
        <w:rPr>
          <w:rFonts w:asciiTheme="minorHAnsi" w:hAnsiTheme="minorHAnsi"/>
        </w:rPr>
        <w:t>ofrece</w:t>
      </w:r>
      <w:r w:rsidRPr="00696671">
        <w:rPr>
          <w:rFonts w:asciiTheme="minorHAnsi" w:hAnsiTheme="minorHAnsi"/>
        </w:rPr>
        <w:t xml:space="preserve"> un breve análisis fiscal </w:t>
      </w:r>
      <w:r w:rsidR="007F39AA" w:rsidRPr="00696671">
        <w:rPr>
          <w:rFonts w:asciiTheme="minorHAnsi" w:hAnsiTheme="minorHAnsi"/>
        </w:rPr>
        <w:t>a</w:t>
      </w:r>
      <w:r w:rsidR="0038383D" w:rsidRPr="00696671">
        <w:rPr>
          <w:rFonts w:asciiTheme="minorHAnsi" w:hAnsiTheme="minorHAnsi"/>
        </w:rPr>
        <w:t>l mes de marzo</w:t>
      </w:r>
      <w:r w:rsidR="00A20E6A" w:rsidRPr="00696671">
        <w:rPr>
          <w:rFonts w:asciiTheme="minorHAnsi" w:hAnsiTheme="minorHAnsi"/>
        </w:rPr>
        <w:t xml:space="preserve"> </w:t>
      </w:r>
      <w:r w:rsidRPr="00696671">
        <w:rPr>
          <w:rFonts w:asciiTheme="minorHAnsi" w:hAnsiTheme="minorHAnsi"/>
        </w:rPr>
        <w:t>de 20</w:t>
      </w:r>
      <w:r w:rsidR="003C1E4C">
        <w:rPr>
          <w:rFonts w:asciiTheme="minorHAnsi" w:hAnsiTheme="minorHAnsi"/>
        </w:rPr>
        <w:t>20</w:t>
      </w:r>
      <w:r w:rsidRPr="00696671">
        <w:rPr>
          <w:rFonts w:asciiTheme="minorHAnsi" w:hAnsiTheme="minorHAnsi"/>
        </w:rPr>
        <w:t xml:space="preserve"> para el consolidado de las 23 jurisdicciones provinciales y la Ciudad Autónoma de Buenos Aires. El universo institucional comprendido es la Administración Pública </w:t>
      </w:r>
      <w:r w:rsidR="00FB3BFA">
        <w:rPr>
          <w:rFonts w:asciiTheme="minorHAnsi" w:hAnsiTheme="minorHAnsi"/>
        </w:rPr>
        <w:t>N</w:t>
      </w:r>
      <w:r w:rsidRPr="00696671">
        <w:rPr>
          <w:rFonts w:asciiTheme="minorHAnsi" w:hAnsiTheme="minorHAnsi"/>
        </w:rPr>
        <w:t xml:space="preserve">o Financiera (APNF), que está </w:t>
      </w:r>
      <w:r w:rsidR="003C1E4C">
        <w:rPr>
          <w:rFonts w:asciiTheme="minorHAnsi" w:hAnsiTheme="minorHAnsi"/>
        </w:rPr>
        <w:t>conform</w:t>
      </w:r>
      <w:r w:rsidRPr="00696671">
        <w:rPr>
          <w:rFonts w:asciiTheme="minorHAnsi" w:hAnsiTheme="minorHAnsi"/>
        </w:rPr>
        <w:t xml:space="preserve">ada por la Administración Central, los Organismos Descentralizados, los Fondos Fiduciarios, </w:t>
      </w:r>
      <w:r w:rsidR="003C1E4C">
        <w:rPr>
          <w:rFonts w:asciiTheme="minorHAnsi" w:hAnsiTheme="minorHAnsi"/>
        </w:rPr>
        <w:t xml:space="preserve">las </w:t>
      </w:r>
      <w:r w:rsidRPr="00696671">
        <w:rPr>
          <w:rFonts w:asciiTheme="minorHAnsi" w:hAnsiTheme="minorHAnsi"/>
        </w:rPr>
        <w:t>Cuentas Especiales y las Instituciones de la Seguridad Social.</w:t>
      </w:r>
    </w:p>
    <w:p w:rsidR="00D64398" w:rsidRPr="00696671" w:rsidRDefault="00D64398" w:rsidP="00B64D16">
      <w:pPr>
        <w:suppressAutoHyphens/>
        <w:ind w:right="142"/>
        <w:jc w:val="both"/>
        <w:rPr>
          <w:rFonts w:asciiTheme="minorHAnsi" w:hAnsiTheme="minorHAnsi"/>
        </w:rPr>
      </w:pPr>
    </w:p>
    <w:p w:rsidR="00132F9F" w:rsidRPr="00696671" w:rsidRDefault="00132F9F" w:rsidP="00132F9F">
      <w:pPr>
        <w:suppressAutoHyphens/>
        <w:ind w:right="142"/>
        <w:jc w:val="both"/>
        <w:rPr>
          <w:rFonts w:asciiTheme="minorHAnsi" w:hAnsiTheme="minorHAnsi"/>
        </w:rPr>
      </w:pPr>
      <w:r w:rsidRPr="00696671">
        <w:rPr>
          <w:rFonts w:asciiTheme="minorHAnsi" w:hAnsiTheme="minorHAnsi"/>
        </w:rPr>
        <w:t xml:space="preserve">La principal fuente de información son las ejecuciones presupuestarias difundidas por las Provincias, </w:t>
      </w:r>
      <w:r w:rsidR="003C1E4C">
        <w:rPr>
          <w:rFonts w:asciiTheme="minorHAnsi" w:hAnsiTheme="minorHAnsi"/>
        </w:rPr>
        <w:t>convenientemente ajustadas con el propósito</w:t>
      </w:r>
      <w:r w:rsidRPr="00696671">
        <w:rPr>
          <w:rFonts w:asciiTheme="minorHAnsi" w:hAnsiTheme="minorHAnsi"/>
        </w:rPr>
        <w:t xml:space="preserve"> de armonizar criterios de imputación de recursos y gastos</w:t>
      </w:r>
      <w:r w:rsidR="003C1E4C">
        <w:rPr>
          <w:rFonts w:asciiTheme="minorHAnsi" w:hAnsiTheme="minorHAnsi"/>
        </w:rPr>
        <w:t xml:space="preserve"> entre las jurisdicciones</w:t>
      </w:r>
      <w:r w:rsidRPr="00696671">
        <w:rPr>
          <w:rFonts w:asciiTheme="minorHAnsi" w:hAnsiTheme="minorHAnsi"/>
        </w:rPr>
        <w:t>, como así también a efectos de mantener su correspondencia con los registros presupuestarios del Gobierno Nacional</w:t>
      </w:r>
      <w:r w:rsidRPr="00696671">
        <w:rPr>
          <w:rStyle w:val="Refdenotaalpie"/>
          <w:rFonts w:asciiTheme="minorHAnsi" w:hAnsiTheme="minorHAnsi"/>
        </w:rPr>
        <w:footnoteReference w:id="1"/>
      </w:r>
      <w:r w:rsidRPr="00696671">
        <w:rPr>
          <w:rFonts w:asciiTheme="minorHAnsi" w:hAnsiTheme="minorHAnsi"/>
        </w:rPr>
        <w:t>.</w:t>
      </w:r>
    </w:p>
    <w:p w:rsidR="00132F9F" w:rsidRPr="00696671" w:rsidRDefault="00132F9F" w:rsidP="00132F9F">
      <w:pPr>
        <w:suppressAutoHyphens/>
        <w:ind w:right="142"/>
        <w:jc w:val="both"/>
        <w:rPr>
          <w:rFonts w:asciiTheme="minorHAnsi" w:hAnsiTheme="minorHAnsi"/>
        </w:rPr>
      </w:pPr>
    </w:p>
    <w:p w:rsidR="00D64398" w:rsidRPr="00696671" w:rsidRDefault="00222E84" w:rsidP="00B64D16">
      <w:pPr>
        <w:suppressAutoHyphens/>
        <w:ind w:right="142"/>
        <w:jc w:val="both"/>
        <w:rPr>
          <w:rFonts w:asciiTheme="minorHAnsi" w:hAnsiTheme="minorHAnsi"/>
        </w:rPr>
      </w:pPr>
      <w:r w:rsidRPr="00696671">
        <w:rPr>
          <w:rFonts w:asciiTheme="minorHAnsi" w:hAnsiTheme="minorHAnsi"/>
        </w:rPr>
        <w:t>El informe</w:t>
      </w:r>
      <w:r w:rsidR="00D64398" w:rsidRPr="00696671">
        <w:rPr>
          <w:rFonts w:asciiTheme="minorHAnsi" w:hAnsiTheme="minorHAnsi"/>
        </w:rPr>
        <w:t xml:space="preserve"> </w:t>
      </w:r>
      <w:r w:rsidR="000B2065" w:rsidRPr="00696671">
        <w:rPr>
          <w:rFonts w:asciiTheme="minorHAnsi" w:hAnsiTheme="minorHAnsi"/>
        </w:rPr>
        <w:t>presenta</w:t>
      </w:r>
      <w:r w:rsidR="008372EC" w:rsidRPr="00696671">
        <w:rPr>
          <w:rFonts w:asciiTheme="minorHAnsi" w:hAnsiTheme="minorHAnsi"/>
        </w:rPr>
        <w:t xml:space="preserve"> </w:t>
      </w:r>
      <w:r w:rsidRPr="00696671">
        <w:rPr>
          <w:rFonts w:asciiTheme="minorHAnsi" w:hAnsiTheme="minorHAnsi"/>
        </w:rPr>
        <w:t xml:space="preserve">en primer lugar </w:t>
      </w:r>
      <w:r w:rsidR="00D64398" w:rsidRPr="00696671">
        <w:rPr>
          <w:rFonts w:asciiTheme="minorHAnsi" w:hAnsiTheme="minorHAnsi"/>
        </w:rPr>
        <w:t xml:space="preserve">la evolución </w:t>
      </w:r>
      <w:r w:rsidR="000B2065" w:rsidRPr="00696671">
        <w:rPr>
          <w:rFonts w:asciiTheme="minorHAnsi" w:hAnsiTheme="minorHAnsi"/>
        </w:rPr>
        <w:t xml:space="preserve">trimestral </w:t>
      </w:r>
      <w:r w:rsidR="00D64398" w:rsidRPr="00696671">
        <w:rPr>
          <w:rFonts w:asciiTheme="minorHAnsi" w:hAnsiTheme="minorHAnsi"/>
        </w:rPr>
        <w:t xml:space="preserve">de los principales agregados fiscales del esquema Ahorro-Inversión-Financiamiento (AIF), </w:t>
      </w:r>
      <w:r w:rsidR="000B2065" w:rsidRPr="00696671">
        <w:rPr>
          <w:rFonts w:asciiTheme="minorHAnsi" w:hAnsiTheme="minorHAnsi"/>
        </w:rPr>
        <w:t xml:space="preserve">es decir </w:t>
      </w:r>
      <w:r w:rsidR="001C6DF9" w:rsidRPr="00696671">
        <w:rPr>
          <w:rFonts w:asciiTheme="minorHAnsi" w:hAnsiTheme="minorHAnsi"/>
        </w:rPr>
        <w:t xml:space="preserve">de los resultados fiscales tanto financiero como primario, los </w:t>
      </w:r>
      <w:r w:rsidR="00D64398" w:rsidRPr="00696671">
        <w:rPr>
          <w:rFonts w:asciiTheme="minorHAnsi" w:hAnsiTheme="minorHAnsi"/>
        </w:rPr>
        <w:t>recursos percibidos</w:t>
      </w:r>
      <w:r w:rsidR="001C6DF9" w:rsidRPr="00696671">
        <w:rPr>
          <w:rFonts w:asciiTheme="minorHAnsi" w:hAnsiTheme="minorHAnsi"/>
        </w:rPr>
        <w:t xml:space="preserve"> y</w:t>
      </w:r>
      <w:r w:rsidR="00D64398" w:rsidRPr="00696671">
        <w:rPr>
          <w:rFonts w:asciiTheme="minorHAnsi" w:hAnsiTheme="minorHAnsi"/>
        </w:rPr>
        <w:t xml:space="preserve"> los gastos devengados por las jurisdicciones</w:t>
      </w:r>
      <w:r w:rsidR="00632AB1" w:rsidRPr="00696671">
        <w:rPr>
          <w:rFonts w:asciiTheme="minorHAnsi" w:hAnsiTheme="minorHAnsi"/>
        </w:rPr>
        <w:t>.</w:t>
      </w:r>
    </w:p>
    <w:p w:rsidR="00632AB1" w:rsidRPr="00696671" w:rsidRDefault="00632AB1" w:rsidP="00B64D16">
      <w:pPr>
        <w:suppressAutoHyphens/>
        <w:ind w:right="142"/>
        <w:jc w:val="both"/>
        <w:rPr>
          <w:rFonts w:asciiTheme="minorHAnsi" w:hAnsiTheme="minorHAnsi"/>
        </w:rPr>
      </w:pPr>
    </w:p>
    <w:p w:rsidR="00E15901" w:rsidRPr="00696671" w:rsidRDefault="00AF3F66" w:rsidP="00B64D16">
      <w:pPr>
        <w:suppressAutoHyphens/>
        <w:ind w:right="142"/>
        <w:jc w:val="both"/>
        <w:rPr>
          <w:rFonts w:asciiTheme="minorHAnsi" w:hAnsiTheme="minorHAnsi"/>
        </w:rPr>
      </w:pPr>
      <w:r>
        <w:rPr>
          <w:rFonts w:asciiTheme="minorHAnsi" w:hAnsiTheme="minorHAnsi"/>
        </w:rPr>
        <w:t>Luego se aborda el comportamiento de</w:t>
      </w:r>
      <w:r w:rsidR="00726A1E" w:rsidRPr="00696671">
        <w:rPr>
          <w:rFonts w:asciiTheme="minorHAnsi" w:hAnsiTheme="minorHAnsi"/>
        </w:rPr>
        <w:t xml:space="preserve"> </w:t>
      </w:r>
      <w:r w:rsidR="00D64398" w:rsidRPr="00696671">
        <w:rPr>
          <w:rFonts w:asciiTheme="minorHAnsi" w:hAnsiTheme="minorHAnsi"/>
        </w:rPr>
        <w:t xml:space="preserve">los </w:t>
      </w:r>
      <w:r w:rsidR="00617358" w:rsidRPr="00696671">
        <w:rPr>
          <w:rFonts w:asciiTheme="minorHAnsi" w:hAnsiTheme="minorHAnsi"/>
        </w:rPr>
        <w:t>R</w:t>
      </w:r>
      <w:r w:rsidR="00D64398" w:rsidRPr="00696671">
        <w:rPr>
          <w:rFonts w:asciiTheme="minorHAnsi" w:hAnsiTheme="minorHAnsi"/>
        </w:rPr>
        <w:t>ecursos,</w:t>
      </w:r>
      <w:r w:rsidR="00726A1E" w:rsidRPr="00696671">
        <w:rPr>
          <w:rFonts w:asciiTheme="minorHAnsi" w:hAnsiTheme="minorHAnsi"/>
        </w:rPr>
        <w:t xml:space="preserve"> </w:t>
      </w:r>
      <w:r w:rsidR="00C823A4" w:rsidRPr="00696671">
        <w:rPr>
          <w:rFonts w:asciiTheme="minorHAnsi" w:hAnsiTheme="minorHAnsi"/>
        </w:rPr>
        <w:t>considera</w:t>
      </w:r>
      <w:r w:rsidR="00FB3BFA">
        <w:rPr>
          <w:rFonts w:asciiTheme="minorHAnsi" w:hAnsiTheme="minorHAnsi"/>
        </w:rPr>
        <w:t>ndo</w:t>
      </w:r>
      <w:r w:rsidR="00C823A4" w:rsidRPr="00696671">
        <w:rPr>
          <w:rFonts w:asciiTheme="minorHAnsi" w:hAnsiTheme="minorHAnsi"/>
        </w:rPr>
        <w:t xml:space="preserve"> en primer término </w:t>
      </w:r>
      <w:r w:rsidR="00D4597B" w:rsidRPr="00696671">
        <w:rPr>
          <w:rFonts w:asciiTheme="minorHAnsi" w:hAnsiTheme="minorHAnsi"/>
        </w:rPr>
        <w:t>el desempeño comparativo</w:t>
      </w:r>
      <w:r w:rsidR="00C823A4" w:rsidRPr="00696671">
        <w:rPr>
          <w:rFonts w:asciiTheme="minorHAnsi" w:hAnsiTheme="minorHAnsi"/>
        </w:rPr>
        <w:t xml:space="preserve"> de </w:t>
      </w:r>
      <w:r w:rsidR="00572BC6" w:rsidRPr="00696671">
        <w:rPr>
          <w:rFonts w:asciiTheme="minorHAnsi" w:hAnsiTheme="minorHAnsi"/>
        </w:rPr>
        <w:t>los ingresos</w:t>
      </w:r>
      <w:r w:rsidR="00D64398" w:rsidRPr="00696671">
        <w:rPr>
          <w:rFonts w:asciiTheme="minorHAnsi" w:hAnsiTheme="minorHAnsi"/>
        </w:rPr>
        <w:t xml:space="preserve"> Corrientes y de Capital</w:t>
      </w:r>
      <w:r w:rsidR="00696671" w:rsidRPr="00696671">
        <w:rPr>
          <w:rFonts w:asciiTheme="minorHAnsi" w:hAnsiTheme="minorHAnsi"/>
        </w:rPr>
        <w:t>, respecto del primer trimestre del año anterior,</w:t>
      </w:r>
      <w:r w:rsidR="00C823A4" w:rsidRPr="00696671">
        <w:rPr>
          <w:rFonts w:asciiTheme="minorHAnsi" w:hAnsiTheme="minorHAnsi"/>
        </w:rPr>
        <w:t xml:space="preserve"> y a continuación los conceptos </w:t>
      </w:r>
      <w:r w:rsidR="00726A1E" w:rsidRPr="00696671">
        <w:rPr>
          <w:rFonts w:asciiTheme="minorHAnsi" w:hAnsiTheme="minorHAnsi"/>
        </w:rPr>
        <w:t>agreg</w:t>
      </w:r>
      <w:r w:rsidR="00C823A4" w:rsidRPr="00696671">
        <w:rPr>
          <w:rFonts w:asciiTheme="minorHAnsi" w:hAnsiTheme="minorHAnsi"/>
        </w:rPr>
        <w:t>ados</w:t>
      </w:r>
      <w:r w:rsidR="00E357DA" w:rsidRPr="00696671">
        <w:rPr>
          <w:rFonts w:asciiTheme="minorHAnsi" w:hAnsiTheme="minorHAnsi"/>
        </w:rPr>
        <w:t xml:space="preserve"> de cada ítem.</w:t>
      </w:r>
      <w:r w:rsidR="00FE1DCA" w:rsidRPr="00696671">
        <w:rPr>
          <w:rFonts w:asciiTheme="minorHAnsi" w:hAnsiTheme="minorHAnsi"/>
        </w:rPr>
        <w:t xml:space="preserve"> </w:t>
      </w:r>
      <w:r w:rsidR="00E357DA" w:rsidRPr="00696671">
        <w:rPr>
          <w:rFonts w:asciiTheme="minorHAnsi" w:hAnsiTheme="minorHAnsi"/>
        </w:rPr>
        <w:t xml:space="preserve">En el caso de </w:t>
      </w:r>
      <w:r w:rsidR="00726A1E" w:rsidRPr="00696671">
        <w:rPr>
          <w:rFonts w:asciiTheme="minorHAnsi" w:hAnsiTheme="minorHAnsi"/>
        </w:rPr>
        <w:t>lo</w:t>
      </w:r>
      <w:r w:rsidR="00D64398" w:rsidRPr="00696671">
        <w:rPr>
          <w:rFonts w:asciiTheme="minorHAnsi" w:hAnsiTheme="minorHAnsi"/>
        </w:rPr>
        <w:t>s</w:t>
      </w:r>
      <w:r w:rsidR="00726A1E" w:rsidRPr="00696671">
        <w:rPr>
          <w:rFonts w:asciiTheme="minorHAnsi" w:hAnsiTheme="minorHAnsi"/>
        </w:rPr>
        <w:t xml:space="preserve"> ingresos Corrientes</w:t>
      </w:r>
      <w:r w:rsidR="00617358" w:rsidRPr="00696671">
        <w:rPr>
          <w:rFonts w:asciiTheme="minorHAnsi" w:hAnsiTheme="minorHAnsi"/>
        </w:rPr>
        <w:t xml:space="preserve"> se </w:t>
      </w:r>
      <w:r w:rsidR="00770F24" w:rsidRPr="00696671">
        <w:rPr>
          <w:rFonts w:asciiTheme="minorHAnsi" w:hAnsiTheme="minorHAnsi"/>
        </w:rPr>
        <w:t xml:space="preserve">menciona la evolución de </w:t>
      </w:r>
      <w:r w:rsidR="00617358" w:rsidRPr="00696671">
        <w:rPr>
          <w:rFonts w:asciiTheme="minorHAnsi" w:hAnsiTheme="minorHAnsi"/>
        </w:rPr>
        <w:t>los</w:t>
      </w:r>
      <w:r w:rsidR="00D64398" w:rsidRPr="00696671">
        <w:rPr>
          <w:rFonts w:asciiTheme="minorHAnsi" w:hAnsiTheme="minorHAnsi"/>
        </w:rPr>
        <w:t xml:space="preserve"> </w:t>
      </w:r>
      <w:r w:rsidR="00770F24" w:rsidRPr="00696671">
        <w:rPr>
          <w:rFonts w:asciiTheme="minorHAnsi" w:hAnsiTheme="minorHAnsi"/>
        </w:rPr>
        <w:t xml:space="preserve">recursos </w:t>
      </w:r>
      <w:r w:rsidR="00617358" w:rsidRPr="00696671">
        <w:rPr>
          <w:rFonts w:asciiTheme="minorHAnsi" w:hAnsiTheme="minorHAnsi"/>
        </w:rPr>
        <w:t>T</w:t>
      </w:r>
      <w:r w:rsidR="00D64398" w:rsidRPr="00696671">
        <w:rPr>
          <w:rFonts w:asciiTheme="minorHAnsi" w:hAnsiTheme="minorHAnsi"/>
        </w:rPr>
        <w:t xml:space="preserve">ributarios </w:t>
      </w:r>
      <w:r w:rsidR="00617358" w:rsidRPr="00696671">
        <w:rPr>
          <w:rFonts w:asciiTheme="minorHAnsi" w:hAnsiTheme="minorHAnsi"/>
        </w:rPr>
        <w:t>(</w:t>
      </w:r>
      <w:r w:rsidR="00D64398" w:rsidRPr="00696671">
        <w:rPr>
          <w:rFonts w:asciiTheme="minorHAnsi" w:hAnsiTheme="minorHAnsi"/>
        </w:rPr>
        <w:t>de origen Provincial y Nacional</w:t>
      </w:r>
      <w:r w:rsidR="00617358" w:rsidRPr="00696671">
        <w:rPr>
          <w:rFonts w:asciiTheme="minorHAnsi" w:hAnsiTheme="minorHAnsi"/>
        </w:rPr>
        <w:t>)</w:t>
      </w:r>
      <w:r w:rsidR="00D64398" w:rsidRPr="00696671">
        <w:rPr>
          <w:rFonts w:asciiTheme="minorHAnsi" w:hAnsiTheme="minorHAnsi"/>
        </w:rPr>
        <w:t>,</w:t>
      </w:r>
      <w:r w:rsidR="00617358" w:rsidRPr="00696671">
        <w:rPr>
          <w:rFonts w:asciiTheme="minorHAnsi" w:hAnsiTheme="minorHAnsi"/>
        </w:rPr>
        <w:t xml:space="preserve"> los</w:t>
      </w:r>
      <w:r w:rsidR="00D64398" w:rsidRPr="00696671">
        <w:rPr>
          <w:rFonts w:asciiTheme="minorHAnsi" w:hAnsiTheme="minorHAnsi"/>
        </w:rPr>
        <w:t xml:space="preserve"> </w:t>
      </w:r>
      <w:r w:rsidR="00617358" w:rsidRPr="00696671">
        <w:rPr>
          <w:rFonts w:asciiTheme="minorHAnsi" w:hAnsiTheme="minorHAnsi"/>
        </w:rPr>
        <w:t>N</w:t>
      </w:r>
      <w:r w:rsidR="00D64398" w:rsidRPr="00696671">
        <w:rPr>
          <w:rFonts w:asciiTheme="minorHAnsi" w:hAnsiTheme="minorHAnsi"/>
        </w:rPr>
        <w:t xml:space="preserve">o </w:t>
      </w:r>
      <w:r w:rsidR="00617358" w:rsidRPr="00696671">
        <w:rPr>
          <w:rFonts w:asciiTheme="minorHAnsi" w:hAnsiTheme="minorHAnsi"/>
        </w:rPr>
        <w:t>T</w:t>
      </w:r>
      <w:r w:rsidR="00D64398" w:rsidRPr="00696671">
        <w:rPr>
          <w:rFonts w:asciiTheme="minorHAnsi" w:hAnsiTheme="minorHAnsi"/>
        </w:rPr>
        <w:t>ributarios</w:t>
      </w:r>
      <w:r w:rsidR="00617358" w:rsidRPr="00696671">
        <w:rPr>
          <w:rFonts w:asciiTheme="minorHAnsi" w:hAnsiTheme="minorHAnsi"/>
        </w:rPr>
        <w:t>, las</w:t>
      </w:r>
      <w:r w:rsidR="00D64398" w:rsidRPr="00696671">
        <w:rPr>
          <w:rFonts w:asciiTheme="minorHAnsi" w:hAnsiTheme="minorHAnsi"/>
        </w:rPr>
        <w:t xml:space="preserve"> transferencias Corrientes</w:t>
      </w:r>
      <w:r w:rsidR="00617358" w:rsidRPr="00696671">
        <w:rPr>
          <w:rFonts w:asciiTheme="minorHAnsi" w:hAnsiTheme="minorHAnsi"/>
        </w:rPr>
        <w:t xml:space="preserve"> y las Contribuciones </w:t>
      </w:r>
      <w:r w:rsidR="00FE1DCA" w:rsidRPr="00696671">
        <w:rPr>
          <w:rFonts w:asciiTheme="minorHAnsi" w:hAnsiTheme="minorHAnsi"/>
        </w:rPr>
        <w:t>a la</w:t>
      </w:r>
      <w:r w:rsidR="00617358" w:rsidRPr="00696671">
        <w:rPr>
          <w:rFonts w:asciiTheme="minorHAnsi" w:hAnsiTheme="minorHAnsi"/>
        </w:rPr>
        <w:t xml:space="preserve"> Seguridad Social</w:t>
      </w:r>
      <w:r w:rsidR="00D64398" w:rsidRPr="00696671">
        <w:rPr>
          <w:rFonts w:asciiTheme="minorHAnsi" w:hAnsiTheme="minorHAnsi"/>
        </w:rPr>
        <w:t>.</w:t>
      </w:r>
      <w:r w:rsidR="000F07D5" w:rsidRPr="00696671">
        <w:rPr>
          <w:rFonts w:asciiTheme="minorHAnsi" w:hAnsiTheme="minorHAnsi"/>
        </w:rPr>
        <w:t xml:space="preserve"> </w:t>
      </w:r>
      <w:r w:rsidR="00871FC5" w:rsidRPr="00696671">
        <w:rPr>
          <w:rFonts w:asciiTheme="minorHAnsi" w:hAnsiTheme="minorHAnsi"/>
        </w:rPr>
        <w:t xml:space="preserve">Por su parte, </w:t>
      </w:r>
      <w:r w:rsidR="00091393" w:rsidRPr="00696671">
        <w:rPr>
          <w:rFonts w:asciiTheme="minorHAnsi" w:hAnsiTheme="minorHAnsi"/>
        </w:rPr>
        <w:t xml:space="preserve">en </w:t>
      </w:r>
      <w:r w:rsidR="00871FC5" w:rsidRPr="00696671">
        <w:rPr>
          <w:rFonts w:asciiTheme="minorHAnsi" w:hAnsiTheme="minorHAnsi"/>
        </w:rPr>
        <w:t xml:space="preserve">los ingresos de Capital </w:t>
      </w:r>
      <w:r w:rsidR="001C52FB" w:rsidRPr="00696671">
        <w:rPr>
          <w:rFonts w:asciiTheme="minorHAnsi" w:hAnsiTheme="minorHAnsi"/>
        </w:rPr>
        <w:t xml:space="preserve">se </w:t>
      </w:r>
      <w:r w:rsidR="00770F24" w:rsidRPr="00696671">
        <w:rPr>
          <w:rFonts w:asciiTheme="minorHAnsi" w:hAnsiTheme="minorHAnsi"/>
        </w:rPr>
        <w:t>hace referencia a</w:t>
      </w:r>
      <w:r w:rsidR="003A7AAF" w:rsidRPr="00696671">
        <w:rPr>
          <w:rFonts w:asciiTheme="minorHAnsi" w:hAnsiTheme="minorHAnsi"/>
        </w:rPr>
        <w:t xml:space="preserve"> las transferencias de Capital, los Recursos Propios y la Disminución de la Inversión Financiera.</w:t>
      </w:r>
    </w:p>
    <w:p w:rsidR="00E15901" w:rsidRPr="00696671" w:rsidRDefault="00E15901" w:rsidP="00B64D16">
      <w:pPr>
        <w:suppressAutoHyphens/>
        <w:ind w:right="142"/>
        <w:jc w:val="both"/>
        <w:rPr>
          <w:rFonts w:asciiTheme="minorHAnsi" w:hAnsiTheme="minorHAnsi"/>
        </w:rPr>
      </w:pPr>
    </w:p>
    <w:p w:rsidR="00696972" w:rsidRPr="00696671" w:rsidRDefault="00D64398" w:rsidP="00B64D16">
      <w:pPr>
        <w:suppressAutoHyphens/>
        <w:ind w:right="142"/>
        <w:jc w:val="both"/>
        <w:rPr>
          <w:rFonts w:asciiTheme="minorHAnsi" w:hAnsiTheme="minorHAnsi"/>
        </w:rPr>
      </w:pPr>
      <w:r w:rsidRPr="00696671">
        <w:rPr>
          <w:rFonts w:asciiTheme="minorHAnsi" w:hAnsiTheme="minorHAnsi"/>
        </w:rPr>
        <w:t xml:space="preserve">En </w:t>
      </w:r>
      <w:r w:rsidR="00617358" w:rsidRPr="00696671">
        <w:rPr>
          <w:rFonts w:asciiTheme="minorHAnsi" w:hAnsiTheme="minorHAnsi"/>
        </w:rPr>
        <w:t>cuanto a</w:t>
      </w:r>
      <w:r w:rsidRPr="00696671">
        <w:rPr>
          <w:rFonts w:asciiTheme="minorHAnsi" w:hAnsiTheme="minorHAnsi"/>
        </w:rPr>
        <w:t>l Gasto Público Provincial,</w:t>
      </w:r>
      <w:r w:rsidR="00CA728D" w:rsidRPr="00696671">
        <w:rPr>
          <w:rFonts w:asciiTheme="minorHAnsi" w:hAnsiTheme="minorHAnsi"/>
        </w:rPr>
        <w:t xml:space="preserve"> se </w:t>
      </w:r>
      <w:r w:rsidR="00091393" w:rsidRPr="00696671">
        <w:rPr>
          <w:rFonts w:asciiTheme="minorHAnsi" w:hAnsiTheme="minorHAnsi"/>
        </w:rPr>
        <w:t>consideran</w:t>
      </w:r>
      <w:r w:rsidR="00CA728D" w:rsidRPr="00696671">
        <w:rPr>
          <w:rFonts w:asciiTheme="minorHAnsi" w:hAnsiTheme="minorHAnsi"/>
        </w:rPr>
        <w:t xml:space="preserve"> dos </w:t>
      </w:r>
      <w:r w:rsidR="00696671" w:rsidRPr="00696671">
        <w:rPr>
          <w:rFonts w:asciiTheme="minorHAnsi" w:hAnsiTheme="minorHAnsi"/>
        </w:rPr>
        <w:t>criterios de</w:t>
      </w:r>
      <w:r w:rsidRPr="00696671">
        <w:rPr>
          <w:rFonts w:asciiTheme="minorHAnsi" w:hAnsiTheme="minorHAnsi"/>
        </w:rPr>
        <w:t xml:space="preserve"> clasificaci</w:t>
      </w:r>
      <w:r w:rsidR="00CA728D" w:rsidRPr="00696671">
        <w:rPr>
          <w:rFonts w:asciiTheme="minorHAnsi" w:hAnsiTheme="minorHAnsi"/>
        </w:rPr>
        <w:t>ó</w:t>
      </w:r>
      <w:r w:rsidRPr="00696671">
        <w:rPr>
          <w:rFonts w:asciiTheme="minorHAnsi" w:hAnsiTheme="minorHAnsi"/>
        </w:rPr>
        <w:t>n presupuestaria</w:t>
      </w:r>
      <w:r w:rsidR="000545D3" w:rsidRPr="00696671">
        <w:rPr>
          <w:rFonts w:asciiTheme="minorHAnsi" w:hAnsiTheme="minorHAnsi"/>
        </w:rPr>
        <w:t>.</w:t>
      </w:r>
      <w:r w:rsidRPr="00696671">
        <w:rPr>
          <w:rFonts w:asciiTheme="minorHAnsi" w:hAnsiTheme="minorHAnsi"/>
        </w:rPr>
        <w:t xml:space="preserve"> </w:t>
      </w:r>
      <w:r w:rsidR="00CA728D" w:rsidRPr="00696671">
        <w:rPr>
          <w:rFonts w:asciiTheme="minorHAnsi" w:hAnsiTheme="minorHAnsi"/>
        </w:rPr>
        <w:t xml:space="preserve">La clasificación </w:t>
      </w:r>
      <w:r w:rsidR="000545D3" w:rsidRPr="00696671">
        <w:rPr>
          <w:rFonts w:asciiTheme="minorHAnsi" w:hAnsiTheme="minorHAnsi"/>
        </w:rPr>
        <w:t xml:space="preserve">Económica y por Objeto, que </w:t>
      </w:r>
      <w:r w:rsidR="00CA728D" w:rsidRPr="00696671">
        <w:rPr>
          <w:rFonts w:asciiTheme="minorHAnsi" w:hAnsiTheme="minorHAnsi"/>
        </w:rPr>
        <w:t xml:space="preserve">permite apreciar </w:t>
      </w:r>
      <w:r w:rsidR="005814EC" w:rsidRPr="00696671">
        <w:rPr>
          <w:rFonts w:asciiTheme="minorHAnsi" w:hAnsiTheme="minorHAnsi"/>
        </w:rPr>
        <w:t xml:space="preserve">la naturaleza económica </w:t>
      </w:r>
      <w:r w:rsidR="001139CA" w:rsidRPr="00696671">
        <w:rPr>
          <w:rFonts w:asciiTheme="minorHAnsi" w:hAnsiTheme="minorHAnsi"/>
        </w:rPr>
        <w:t>de las transacciones</w:t>
      </w:r>
      <w:r w:rsidR="00696671" w:rsidRPr="00696671">
        <w:rPr>
          <w:rFonts w:asciiTheme="minorHAnsi" w:hAnsiTheme="minorHAnsi"/>
        </w:rPr>
        <w:t>,</w:t>
      </w:r>
      <w:r w:rsidR="001139CA" w:rsidRPr="00696671">
        <w:rPr>
          <w:rFonts w:asciiTheme="minorHAnsi" w:hAnsiTheme="minorHAnsi"/>
        </w:rPr>
        <w:t xml:space="preserve"> ordena</w:t>
      </w:r>
      <w:r w:rsidR="00696671" w:rsidRPr="00696671">
        <w:rPr>
          <w:rFonts w:asciiTheme="minorHAnsi" w:hAnsiTheme="minorHAnsi"/>
        </w:rPr>
        <w:t>ndo</w:t>
      </w:r>
      <w:r w:rsidR="001139CA" w:rsidRPr="00696671">
        <w:rPr>
          <w:rFonts w:asciiTheme="minorHAnsi" w:hAnsiTheme="minorHAnsi"/>
        </w:rPr>
        <w:t xml:space="preserve"> </w:t>
      </w:r>
      <w:r w:rsidR="005814EC" w:rsidRPr="00696671">
        <w:rPr>
          <w:rFonts w:asciiTheme="minorHAnsi" w:hAnsiTheme="minorHAnsi"/>
        </w:rPr>
        <w:t>l</w:t>
      </w:r>
      <w:r w:rsidR="001139CA" w:rsidRPr="00696671">
        <w:rPr>
          <w:rFonts w:asciiTheme="minorHAnsi" w:hAnsiTheme="minorHAnsi"/>
        </w:rPr>
        <w:t>os egresos</w:t>
      </w:r>
      <w:r w:rsidR="005814EC" w:rsidRPr="00696671">
        <w:rPr>
          <w:rFonts w:asciiTheme="minorHAnsi" w:hAnsiTheme="minorHAnsi"/>
        </w:rPr>
        <w:t xml:space="preserve"> </w:t>
      </w:r>
      <w:r w:rsidR="001139CA" w:rsidRPr="00696671">
        <w:rPr>
          <w:rFonts w:asciiTheme="minorHAnsi" w:hAnsiTheme="minorHAnsi"/>
        </w:rPr>
        <w:t xml:space="preserve">según sean bienes, servicios, transferencias o variaciones de activos y pasivos, </w:t>
      </w:r>
      <w:r w:rsidR="000545D3" w:rsidRPr="00696671">
        <w:rPr>
          <w:rFonts w:asciiTheme="minorHAnsi" w:hAnsiTheme="minorHAnsi"/>
        </w:rPr>
        <w:t>y la clasificación p</w:t>
      </w:r>
      <w:r w:rsidRPr="00696671">
        <w:rPr>
          <w:rFonts w:asciiTheme="minorHAnsi" w:hAnsiTheme="minorHAnsi"/>
        </w:rPr>
        <w:t xml:space="preserve">or Finalidad y Función, </w:t>
      </w:r>
      <w:r w:rsidR="000545D3" w:rsidRPr="00696671">
        <w:rPr>
          <w:rFonts w:asciiTheme="minorHAnsi" w:hAnsiTheme="minorHAnsi"/>
        </w:rPr>
        <w:t xml:space="preserve">que </w:t>
      </w:r>
      <w:r w:rsidRPr="00696671">
        <w:rPr>
          <w:rFonts w:asciiTheme="minorHAnsi" w:hAnsiTheme="minorHAnsi"/>
        </w:rPr>
        <w:t>muestra</w:t>
      </w:r>
      <w:r w:rsidR="001C41D3" w:rsidRPr="00696671">
        <w:rPr>
          <w:rFonts w:asciiTheme="minorHAnsi" w:hAnsiTheme="minorHAnsi"/>
        </w:rPr>
        <w:t xml:space="preserve"> </w:t>
      </w:r>
      <w:r w:rsidRPr="00696671">
        <w:rPr>
          <w:rFonts w:asciiTheme="minorHAnsi" w:hAnsiTheme="minorHAnsi"/>
        </w:rPr>
        <w:t xml:space="preserve">la naturaleza de los servicios que brinda </w:t>
      </w:r>
      <w:r w:rsidR="00696671" w:rsidRPr="00696671">
        <w:rPr>
          <w:rFonts w:asciiTheme="minorHAnsi" w:hAnsiTheme="minorHAnsi"/>
        </w:rPr>
        <w:t xml:space="preserve">a la comunidad el conjunto de </w:t>
      </w:r>
      <w:r w:rsidRPr="00696671">
        <w:rPr>
          <w:rFonts w:asciiTheme="minorHAnsi" w:hAnsiTheme="minorHAnsi"/>
        </w:rPr>
        <w:t>las administraciones gubernamentales de las jurisdicciones</w:t>
      </w:r>
      <w:r w:rsidR="00696671" w:rsidRPr="00696671">
        <w:rPr>
          <w:rFonts w:asciiTheme="minorHAnsi" w:hAnsiTheme="minorHAnsi"/>
        </w:rPr>
        <w:t xml:space="preserve"> provinciales y la Ciudad Autónoma de Buenos Aires</w:t>
      </w:r>
      <w:r w:rsidRPr="00696671">
        <w:rPr>
          <w:rFonts w:asciiTheme="minorHAnsi" w:hAnsiTheme="minorHAnsi"/>
        </w:rPr>
        <w:t>.</w:t>
      </w:r>
    </w:p>
    <w:p w:rsidR="00CA728D" w:rsidRPr="00696671" w:rsidRDefault="00CA728D" w:rsidP="00B64D16">
      <w:pPr>
        <w:suppressAutoHyphens/>
        <w:ind w:right="142"/>
        <w:jc w:val="both"/>
        <w:rPr>
          <w:rFonts w:asciiTheme="minorHAnsi" w:hAnsiTheme="minorHAnsi"/>
        </w:rPr>
      </w:pPr>
    </w:p>
    <w:p w:rsidR="00D64398" w:rsidRPr="00696671" w:rsidRDefault="00AF3F66" w:rsidP="00B64D16">
      <w:pPr>
        <w:suppressAutoHyphens/>
        <w:ind w:right="142"/>
        <w:jc w:val="both"/>
        <w:rPr>
          <w:rFonts w:asciiTheme="minorHAnsi" w:hAnsiTheme="minorHAnsi"/>
        </w:rPr>
      </w:pPr>
      <w:r w:rsidRPr="00585188">
        <w:rPr>
          <w:rFonts w:asciiTheme="minorHAnsi" w:hAnsiTheme="minorHAnsi"/>
        </w:rPr>
        <w:t xml:space="preserve">Se adjunta como anexo al informe </w:t>
      </w:r>
      <w:r>
        <w:rPr>
          <w:rFonts w:asciiTheme="minorHAnsi" w:hAnsiTheme="minorHAnsi"/>
        </w:rPr>
        <w:t>el</w:t>
      </w:r>
      <w:r w:rsidRPr="00585188">
        <w:rPr>
          <w:rFonts w:asciiTheme="minorHAnsi" w:hAnsiTheme="minorHAnsi"/>
        </w:rPr>
        <w:t xml:space="preserve"> esquema Ahorro-Inversión-Financiamiento correspondiente al Consolidado de 24 Jurisdicciones del primer</w:t>
      </w:r>
      <w:r w:rsidRPr="00696671">
        <w:rPr>
          <w:rFonts w:asciiTheme="minorHAnsi" w:hAnsiTheme="minorHAnsi"/>
        </w:rPr>
        <w:t xml:space="preserve"> </w:t>
      </w:r>
      <w:r>
        <w:rPr>
          <w:rFonts w:asciiTheme="minorHAnsi" w:hAnsiTheme="minorHAnsi"/>
        </w:rPr>
        <w:t xml:space="preserve">trimestre </w:t>
      </w:r>
      <w:r w:rsidR="00436337">
        <w:rPr>
          <w:rFonts w:asciiTheme="minorHAnsi" w:hAnsiTheme="minorHAnsi"/>
        </w:rPr>
        <w:t xml:space="preserve">de </w:t>
      </w:r>
      <w:r>
        <w:rPr>
          <w:rFonts w:asciiTheme="minorHAnsi" w:hAnsiTheme="minorHAnsi"/>
        </w:rPr>
        <w:t>20</w:t>
      </w:r>
      <w:r w:rsidR="003C1E4C">
        <w:rPr>
          <w:rFonts w:asciiTheme="minorHAnsi" w:hAnsiTheme="minorHAnsi"/>
        </w:rPr>
        <w:t>20</w:t>
      </w:r>
      <w:r>
        <w:rPr>
          <w:rFonts w:asciiTheme="minorHAnsi" w:hAnsiTheme="minorHAnsi"/>
        </w:rPr>
        <w:t xml:space="preserve">. </w:t>
      </w:r>
      <w:r w:rsidR="00D64398" w:rsidRPr="00696671">
        <w:rPr>
          <w:rFonts w:asciiTheme="minorHAnsi" w:hAnsiTheme="minorHAnsi"/>
        </w:rPr>
        <w:t>Una información más detallada de las ejecuciones presupuestarias, puede ser consultada en la página Web:</w:t>
      </w:r>
    </w:p>
    <w:p w:rsidR="00D64398" w:rsidRPr="00D64398" w:rsidRDefault="003C1E4C" w:rsidP="00B64D16">
      <w:pPr>
        <w:suppressAutoHyphens/>
        <w:ind w:right="142"/>
        <w:jc w:val="both"/>
        <w:rPr>
          <w:rFonts w:asciiTheme="minorHAnsi" w:hAnsiTheme="minorHAnsi"/>
        </w:rPr>
        <w:sectPr w:rsidR="00D64398" w:rsidRPr="00D64398" w:rsidSect="00696972">
          <w:pgSz w:w="11907" w:h="16839" w:code="9"/>
          <w:pgMar w:top="1418" w:right="1559" w:bottom="1418" w:left="1701" w:header="567" w:footer="567" w:gutter="0"/>
          <w:pgNumType w:start="2"/>
          <w:cols w:space="708"/>
          <w:docGrid w:linePitch="360"/>
        </w:sectPr>
      </w:pPr>
      <w:r w:rsidRPr="003C1E4C">
        <w:rPr>
          <w:rFonts w:asciiTheme="minorHAnsi" w:hAnsiTheme="minorHAnsi"/>
        </w:rPr>
        <w:t>https://www.economia.gob.ar/dnap/ejecuciones.html</w:t>
      </w:r>
    </w:p>
    <w:p w:rsidR="007F4131" w:rsidRPr="0025674A" w:rsidRDefault="00B61E6C" w:rsidP="007F4131">
      <w:pPr>
        <w:pStyle w:val="Ttulo1"/>
        <w:numPr>
          <w:ilvl w:val="0"/>
          <w:numId w:val="0"/>
        </w:numPr>
      </w:pPr>
      <w:bookmarkStart w:id="6" w:name="_Toc502068509"/>
      <w:bookmarkStart w:id="7" w:name="_Toc532574487"/>
      <w:bookmarkStart w:id="8" w:name="_Toc3367370"/>
      <w:bookmarkStart w:id="9" w:name="_Toc456716571"/>
      <w:bookmarkStart w:id="10" w:name="_Toc500246796"/>
      <w:bookmarkStart w:id="11" w:name="_Toc532574486"/>
      <w:r>
        <w:lastRenderedPageBreak/>
        <w:t>2</w:t>
      </w:r>
      <w:r w:rsidR="007F4131" w:rsidRPr="0025674A">
        <w:t>. RESULTADOS FISCALES</w:t>
      </w:r>
      <w:bookmarkEnd w:id="6"/>
      <w:bookmarkEnd w:id="7"/>
      <w:bookmarkEnd w:id="8"/>
    </w:p>
    <w:bookmarkEnd w:id="4"/>
    <w:bookmarkEnd w:id="9"/>
    <w:bookmarkEnd w:id="10"/>
    <w:bookmarkEnd w:id="11"/>
    <w:p w:rsidR="00494A22" w:rsidRPr="00225BFD" w:rsidRDefault="00494A22" w:rsidP="00B137E3">
      <w:pPr>
        <w:pBdr>
          <w:top w:val="single" w:sz="4" w:space="1" w:color="auto"/>
        </w:pBdr>
        <w:suppressAutoHyphens/>
        <w:jc w:val="both"/>
        <w:rPr>
          <w:rFonts w:ascii="Calibri" w:hAnsi="Calibri"/>
          <w:color w:val="595959" w:themeColor="text1" w:themeTint="A6"/>
        </w:rPr>
      </w:pPr>
    </w:p>
    <w:p w:rsidR="00FC3E53" w:rsidRPr="00257BB9" w:rsidRDefault="00257BB9" w:rsidP="00BE0CEE">
      <w:pPr>
        <w:suppressAutoHyphens/>
        <w:jc w:val="both"/>
        <w:rPr>
          <w:rFonts w:asciiTheme="minorHAnsi" w:hAnsiTheme="minorHAnsi"/>
        </w:rPr>
      </w:pPr>
      <w:r w:rsidRPr="00257BB9">
        <w:rPr>
          <w:rFonts w:asciiTheme="minorHAnsi" w:hAnsiTheme="minorHAnsi"/>
        </w:rPr>
        <w:t>De la</w:t>
      </w:r>
      <w:r w:rsidR="00476154" w:rsidRPr="00257BB9">
        <w:rPr>
          <w:rFonts w:asciiTheme="minorHAnsi" w:hAnsiTheme="minorHAnsi"/>
        </w:rPr>
        <w:t xml:space="preserve"> compara</w:t>
      </w:r>
      <w:r w:rsidRPr="00257BB9">
        <w:rPr>
          <w:rFonts w:asciiTheme="minorHAnsi" w:hAnsiTheme="minorHAnsi"/>
        </w:rPr>
        <w:t>ción</w:t>
      </w:r>
      <w:r w:rsidR="00476154" w:rsidRPr="00257BB9">
        <w:rPr>
          <w:rFonts w:asciiTheme="minorHAnsi" w:hAnsiTheme="minorHAnsi"/>
        </w:rPr>
        <w:t xml:space="preserve"> </w:t>
      </w:r>
      <w:r w:rsidRPr="00257BB9">
        <w:rPr>
          <w:rFonts w:asciiTheme="minorHAnsi" w:hAnsiTheme="minorHAnsi"/>
        </w:rPr>
        <w:t>d</w:t>
      </w:r>
      <w:r w:rsidR="00476154" w:rsidRPr="00257BB9">
        <w:rPr>
          <w:rFonts w:asciiTheme="minorHAnsi" w:hAnsiTheme="minorHAnsi"/>
        </w:rPr>
        <w:t>e</w:t>
      </w:r>
      <w:r w:rsidR="00FC3E53" w:rsidRPr="00257BB9">
        <w:rPr>
          <w:rFonts w:asciiTheme="minorHAnsi" w:hAnsiTheme="minorHAnsi"/>
        </w:rPr>
        <w:t xml:space="preserve">l </w:t>
      </w:r>
      <w:r w:rsidR="004B3D68" w:rsidRPr="00257BB9">
        <w:rPr>
          <w:rFonts w:asciiTheme="minorHAnsi" w:hAnsiTheme="minorHAnsi"/>
        </w:rPr>
        <w:t>primer</w:t>
      </w:r>
      <w:r w:rsidR="00FC3E53" w:rsidRPr="00257BB9">
        <w:rPr>
          <w:rFonts w:asciiTheme="minorHAnsi" w:hAnsiTheme="minorHAnsi"/>
        </w:rPr>
        <w:t xml:space="preserve"> trimestre de 20</w:t>
      </w:r>
      <w:r w:rsidRPr="00257BB9">
        <w:rPr>
          <w:rFonts w:asciiTheme="minorHAnsi" w:hAnsiTheme="minorHAnsi"/>
        </w:rPr>
        <w:t>20</w:t>
      </w:r>
      <w:r w:rsidR="00FC3E53" w:rsidRPr="00257BB9">
        <w:rPr>
          <w:rFonts w:asciiTheme="minorHAnsi" w:hAnsiTheme="minorHAnsi"/>
        </w:rPr>
        <w:t xml:space="preserve"> </w:t>
      </w:r>
      <w:r w:rsidR="00476154" w:rsidRPr="00257BB9">
        <w:rPr>
          <w:rFonts w:asciiTheme="minorHAnsi" w:hAnsiTheme="minorHAnsi"/>
        </w:rPr>
        <w:t xml:space="preserve">con igual período del año anterior </w:t>
      </w:r>
      <w:r w:rsidRPr="00257BB9">
        <w:rPr>
          <w:rFonts w:asciiTheme="minorHAnsi" w:hAnsiTheme="minorHAnsi"/>
        </w:rPr>
        <w:t>surge</w:t>
      </w:r>
      <w:r w:rsidR="00FC3E53" w:rsidRPr="00257BB9">
        <w:rPr>
          <w:rFonts w:asciiTheme="minorHAnsi" w:hAnsiTheme="minorHAnsi"/>
        </w:rPr>
        <w:t xml:space="preserve"> </w:t>
      </w:r>
      <w:r w:rsidRPr="00257BB9">
        <w:rPr>
          <w:rFonts w:asciiTheme="minorHAnsi" w:hAnsiTheme="minorHAnsi"/>
        </w:rPr>
        <w:t xml:space="preserve">que el </w:t>
      </w:r>
      <w:r w:rsidR="00C77C0C" w:rsidRPr="00257BB9">
        <w:rPr>
          <w:rFonts w:asciiTheme="minorHAnsi" w:hAnsiTheme="minorHAnsi"/>
        </w:rPr>
        <w:t>R</w:t>
      </w:r>
      <w:r w:rsidR="00FC3E53" w:rsidRPr="00257BB9">
        <w:rPr>
          <w:rFonts w:asciiTheme="minorHAnsi" w:hAnsiTheme="minorHAnsi"/>
        </w:rPr>
        <w:t xml:space="preserve">esultado </w:t>
      </w:r>
      <w:r w:rsidR="00C77C0C" w:rsidRPr="00257BB9">
        <w:rPr>
          <w:rFonts w:asciiTheme="minorHAnsi" w:hAnsiTheme="minorHAnsi"/>
        </w:rPr>
        <w:t>E</w:t>
      </w:r>
      <w:r w:rsidR="00FC3E53" w:rsidRPr="00257BB9">
        <w:rPr>
          <w:rFonts w:asciiTheme="minorHAnsi" w:hAnsiTheme="minorHAnsi"/>
        </w:rPr>
        <w:t>conómico</w:t>
      </w:r>
      <w:r w:rsidRPr="00257BB9">
        <w:rPr>
          <w:rFonts w:asciiTheme="minorHAnsi" w:hAnsiTheme="minorHAnsi"/>
        </w:rPr>
        <w:t xml:space="preserve"> </w:t>
      </w:r>
      <w:r w:rsidR="00FE76A1">
        <w:rPr>
          <w:rFonts w:asciiTheme="minorHAnsi" w:hAnsiTheme="minorHAnsi"/>
        </w:rPr>
        <w:t xml:space="preserve">positivo </w:t>
      </w:r>
      <w:r w:rsidRPr="00257BB9">
        <w:rPr>
          <w:rFonts w:asciiTheme="minorHAnsi" w:hAnsiTheme="minorHAnsi"/>
        </w:rPr>
        <w:t>del total de las jurisdicciones</w:t>
      </w:r>
      <w:r w:rsidR="00FE76A1">
        <w:rPr>
          <w:rFonts w:asciiTheme="minorHAnsi" w:hAnsiTheme="minorHAnsi"/>
        </w:rPr>
        <w:t xml:space="preserve"> </w:t>
      </w:r>
      <w:r w:rsidR="005539D0">
        <w:rPr>
          <w:rFonts w:asciiTheme="minorHAnsi" w:hAnsiTheme="minorHAnsi"/>
        </w:rPr>
        <w:t>mejora</w:t>
      </w:r>
      <w:r w:rsidR="00970FFD">
        <w:rPr>
          <w:rFonts w:asciiTheme="minorHAnsi" w:hAnsiTheme="minorHAnsi"/>
        </w:rPr>
        <w:t xml:space="preserve"> </w:t>
      </w:r>
      <w:r w:rsidR="005539D0">
        <w:rPr>
          <w:rFonts w:asciiTheme="minorHAnsi" w:hAnsiTheme="minorHAnsi"/>
        </w:rPr>
        <w:t>13,8</w:t>
      </w:r>
      <w:r w:rsidR="00970FFD">
        <w:rPr>
          <w:rFonts w:asciiTheme="minorHAnsi" w:hAnsiTheme="minorHAnsi"/>
        </w:rPr>
        <w:t>%</w:t>
      </w:r>
      <w:r w:rsidR="004B3D68" w:rsidRPr="00257BB9">
        <w:rPr>
          <w:rFonts w:asciiTheme="minorHAnsi" w:hAnsiTheme="minorHAnsi"/>
        </w:rPr>
        <w:t xml:space="preserve">, </w:t>
      </w:r>
      <w:r w:rsidRPr="00257BB9">
        <w:rPr>
          <w:rFonts w:asciiTheme="minorHAnsi" w:hAnsiTheme="minorHAnsi"/>
        </w:rPr>
        <w:t xml:space="preserve">de modo que </w:t>
      </w:r>
      <w:r w:rsidR="005539D0">
        <w:rPr>
          <w:rFonts w:asciiTheme="minorHAnsi" w:hAnsiTheme="minorHAnsi"/>
        </w:rPr>
        <w:t>alcanzó</w:t>
      </w:r>
      <w:r w:rsidR="005D2F14" w:rsidRPr="00257BB9">
        <w:rPr>
          <w:rFonts w:asciiTheme="minorHAnsi" w:hAnsiTheme="minorHAnsi"/>
        </w:rPr>
        <w:t xml:space="preserve"> </w:t>
      </w:r>
      <w:r w:rsidR="00970FFD">
        <w:rPr>
          <w:rFonts w:asciiTheme="minorHAnsi" w:hAnsiTheme="minorHAnsi"/>
        </w:rPr>
        <w:t xml:space="preserve">$ </w:t>
      </w:r>
      <w:r w:rsidR="005539D0">
        <w:rPr>
          <w:rFonts w:asciiTheme="minorHAnsi" w:hAnsiTheme="minorHAnsi"/>
        </w:rPr>
        <w:t>101.330</w:t>
      </w:r>
      <w:r w:rsidR="00FC3E53" w:rsidRPr="00257BB9">
        <w:rPr>
          <w:rFonts w:asciiTheme="minorHAnsi" w:hAnsiTheme="minorHAnsi"/>
        </w:rPr>
        <w:t xml:space="preserve"> millones (Cuadro </w:t>
      </w:r>
      <w:r w:rsidR="00DA7565" w:rsidRPr="00257BB9">
        <w:rPr>
          <w:rFonts w:asciiTheme="minorHAnsi" w:hAnsiTheme="minorHAnsi"/>
        </w:rPr>
        <w:t>1</w:t>
      </w:r>
      <w:r w:rsidR="00FC3E53" w:rsidRPr="00257BB9">
        <w:rPr>
          <w:rFonts w:asciiTheme="minorHAnsi" w:hAnsiTheme="minorHAnsi"/>
        </w:rPr>
        <w:t>)</w:t>
      </w:r>
      <w:r w:rsidR="00FC156B" w:rsidRPr="00257BB9">
        <w:rPr>
          <w:rFonts w:asciiTheme="minorHAnsi" w:hAnsiTheme="minorHAnsi"/>
        </w:rPr>
        <w:t>.</w:t>
      </w:r>
    </w:p>
    <w:p w:rsidR="00472960" w:rsidRPr="00257BB9" w:rsidRDefault="00472960" w:rsidP="00472960">
      <w:pPr>
        <w:suppressAutoHyphens/>
        <w:jc w:val="both"/>
        <w:rPr>
          <w:rFonts w:asciiTheme="minorHAnsi" w:hAnsiTheme="minorHAnsi"/>
        </w:rPr>
      </w:pPr>
    </w:p>
    <w:p w:rsidR="00632AB1" w:rsidRPr="00257BB9" w:rsidRDefault="004322AE" w:rsidP="003C1C82">
      <w:pPr>
        <w:shd w:val="clear" w:color="auto" w:fill="FFFFFF" w:themeFill="background1"/>
        <w:suppressAutoHyphens/>
        <w:jc w:val="both"/>
        <w:rPr>
          <w:rFonts w:asciiTheme="minorHAnsi" w:hAnsiTheme="minorHAnsi"/>
        </w:rPr>
      </w:pPr>
      <w:r w:rsidRPr="00257BB9">
        <w:rPr>
          <w:rFonts w:asciiTheme="minorHAnsi" w:hAnsiTheme="minorHAnsi"/>
        </w:rPr>
        <w:t>Análogamente</w:t>
      </w:r>
      <w:r w:rsidR="00632AB1" w:rsidRPr="00257BB9">
        <w:rPr>
          <w:rFonts w:asciiTheme="minorHAnsi" w:hAnsiTheme="minorHAnsi"/>
        </w:rPr>
        <w:t xml:space="preserve">, el Resultado Primario del primer trimestre </w:t>
      </w:r>
      <w:r w:rsidR="00436337" w:rsidRPr="00257BB9">
        <w:rPr>
          <w:rFonts w:asciiTheme="minorHAnsi" w:hAnsiTheme="minorHAnsi"/>
        </w:rPr>
        <w:t xml:space="preserve">de </w:t>
      </w:r>
      <w:r w:rsidR="00632AB1" w:rsidRPr="00257BB9">
        <w:rPr>
          <w:rFonts w:asciiTheme="minorHAnsi" w:hAnsiTheme="minorHAnsi"/>
        </w:rPr>
        <w:t>20</w:t>
      </w:r>
      <w:r w:rsidR="00257BB9" w:rsidRPr="00257BB9">
        <w:rPr>
          <w:rFonts w:asciiTheme="minorHAnsi" w:hAnsiTheme="minorHAnsi"/>
        </w:rPr>
        <w:t>20</w:t>
      </w:r>
      <w:r w:rsidR="00632AB1" w:rsidRPr="00257BB9">
        <w:rPr>
          <w:rFonts w:asciiTheme="minorHAnsi" w:hAnsiTheme="minorHAnsi"/>
        </w:rPr>
        <w:t xml:space="preserve"> registra un superávit de </w:t>
      </w:r>
      <w:r w:rsidR="00970FFD">
        <w:rPr>
          <w:rFonts w:asciiTheme="minorHAnsi" w:hAnsiTheme="minorHAnsi"/>
        </w:rPr>
        <w:t xml:space="preserve">$ </w:t>
      </w:r>
      <w:r w:rsidR="005539D0">
        <w:rPr>
          <w:rFonts w:asciiTheme="minorHAnsi" w:hAnsiTheme="minorHAnsi"/>
        </w:rPr>
        <w:t>101.998</w:t>
      </w:r>
      <w:r w:rsidR="00632AB1" w:rsidRPr="00257BB9">
        <w:rPr>
          <w:rFonts w:asciiTheme="minorHAnsi" w:hAnsiTheme="minorHAnsi"/>
        </w:rPr>
        <w:t xml:space="preserve"> millones</w:t>
      </w:r>
      <w:r w:rsidR="003C1C82" w:rsidRPr="00257BB9">
        <w:rPr>
          <w:rFonts w:asciiTheme="minorHAnsi" w:hAnsiTheme="minorHAnsi"/>
        </w:rPr>
        <w:t>,</w:t>
      </w:r>
      <w:r w:rsidR="00FC156B" w:rsidRPr="00257BB9">
        <w:rPr>
          <w:rFonts w:asciiTheme="minorHAnsi" w:hAnsiTheme="minorHAnsi"/>
        </w:rPr>
        <w:t xml:space="preserve"> </w:t>
      </w:r>
      <w:r w:rsidR="00257BB9" w:rsidRPr="00257BB9">
        <w:rPr>
          <w:rFonts w:asciiTheme="minorHAnsi" w:hAnsiTheme="minorHAnsi"/>
        </w:rPr>
        <w:t xml:space="preserve">lo </w:t>
      </w:r>
      <w:r w:rsidR="006237EC">
        <w:rPr>
          <w:rFonts w:asciiTheme="minorHAnsi" w:hAnsiTheme="minorHAnsi"/>
        </w:rPr>
        <w:t>cual,</w:t>
      </w:r>
      <w:r w:rsidR="00257BB9" w:rsidRPr="00257BB9">
        <w:rPr>
          <w:rFonts w:asciiTheme="minorHAnsi" w:hAnsiTheme="minorHAnsi"/>
        </w:rPr>
        <w:t xml:space="preserve"> en</w:t>
      </w:r>
      <w:r w:rsidR="00632AB1" w:rsidRPr="00257BB9">
        <w:rPr>
          <w:rFonts w:asciiTheme="minorHAnsi" w:hAnsiTheme="minorHAnsi"/>
        </w:rPr>
        <w:t xml:space="preserve"> términos comparativos </w:t>
      </w:r>
      <w:r w:rsidR="00257BB9" w:rsidRPr="00257BB9">
        <w:rPr>
          <w:rFonts w:asciiTheme="minorHAnsi" w:hAnsiTheme="minorHAnsi"/>
        </w:rPr>
        <w:t>respecto de</w:t>
      </w:r>
      <w:r w:rsidR="00632AB1" w:rsidRPr="00257BB9">
        <w:rPr>
          <w:rFonts w:asciiTheme="minorHAnsi" w:hAnsiTheme="minorHAnsi"/>
        </w:rPr>
        <w:t xml:space="preserve"> igual período de 201</w:t>
      </w:r>
      <w:r w:rsidR="00257BB9" w:rsidRPr="00257BB9">
        <w:rPr>
          <w:rFonts w:asciiTheme="minorHAnsi" w:hAnsiTheme="minorHAnsi"/>
        </w:rPr>
        <w:t>9</w:t>
      </w:r>
      <w:r w:rsidR="006237EC">
        <w:rPr>
          <w:rFonts w:asciiTheme="minorHAnsi" w:hAnsiTheme="minorHAnsi"/>
        </w:rPr>
        <w:t>,</w:t>
      </w:r>
      <w:r w:rsidR="00632AB1" w:rsidRPr="00257BB9">
        <w:rPr>
          <w:rFonts w:asciiTheme="minorHAnsi" w:hAnsiTheme="minorHAnsi"/>
        </w:rPr>
        <w:t xml:space="preserve"> </w:t>
      </w:r>
      <w:r w:rsidR="00257BB9" w:rsidRPr="00257BB9">
        <w:rPr>
          <w:rFonts w:asciiTheme="minorHAnsi" w:hAnsiTheme="minorHAnsi"/>
        </w:rPr>
        <w:t>re</w:t>
      </w:r>
      <w:r w:rsidR="00632AB1" w:rsidRPr="00257BB9">
        <w:rPr>
          <w:rFonts w:asciiTheme="minorHAnsi" w:hAnsiTheme="minorHAnsi"/>
        </w:rPr>
        <w:t xml:space="preserve">presenta un </w:t>
      </w:r>
      <w:r w:rsidR="003C1C82" w:rsidRPr="00257BB9">
        <w:rPr>
          <w:rFonts w:asciiTheme="minorHAnsi" w:hAnsiTheme="minorHAnsi"/>
        </w:rPr>
        <w:t>incremento</w:t>
      </w:r>
      <w:r w:rsidR="00632AB1" w:rsidRPr="00257BB9">
        <w:rPr>
          <w:rFonts w:asciiTheme="minorHAnsi" w:hAnsiTheme="minorHAnsi"/>
        </w:rPr>
        <w:t xml:space="preserve"> de</w:t>
      </w:r>
      <w:r w:rsidRPr="00257BB9">
        <w:rPr>
          <w:rFonts w:asciiTheme="minorHAnsi" w:hAnsiTheme="minorHAnsi"/>
        </w:rPr>
        <w:t xml:space="preserve"> </w:t>
      </w:r>
      <w:r w:rsidR="00257BB9" w:rsidRPr="00257BB9">
        <w:rPr>
          <w:rFonts w:asciiTheme="minorHAnsi" w:hAnsiTheme="minorHAnsi"/>
        </w:rPr>
        <w:t>40,</w:t>
      </w:r>
      <w:r w:rsidR="005539D0">
        <w:rPr>
          <w:rFonts w:asciiTheme="minorHAnsi" w:hAnsiTheme="minorHAnsi"/>
        </w:rPr>
        <w:t>5</w:t>
      </w:r>
      <w:r w:rsidR="00970FFD">
        <w:rPr>
          <w:rFonts w:asciiTheme="minorHAnsi" w:hAnsiTheme="minorHAnsi"/>
        </w:rPr>
        <w:t>%</w:t>
      </w:r>
      <w:r w:rsidR="00632AB1" w:rsidRPr="00257BB9">
        <w:rPr>
          <w:rFonts w:asciiTheme="minorHAnsi" w:hAnsiTheme="minorHAnsi"/>
        </w:rPr>
        <w:t>.</w:t>
      </w:r>
    </w:p>
    <w:p w:rsidR="006204AE" w:rsidRPr="00257BB9" w:rsidRDefault="006204AE" w:rsidP="00BE0CEE">
      <w:pPr>
        <w:suppressAutoHyphens/>
        <w:jc w:val="both"/>
        <w:rPr>
          <w:rFonts w:asciiTheme="minorHAnsi" w:hAnsiTheme="minorHAnsi"/>
        </w:rPr>
      </w:pPr>
    </w:p>
    <w:p w:rsidR="00451C93" w:rsidRPr="003C1C82" w:rsidRDefault="00257BB9" w:rsidP="00451C93">
      <w:pPr>
        <w:suppressAutoHyphens/>
        <w:jc w:val="both"/>
        <w:rPr>
          <w:rFonts w:asciiTheme="minorHAnsi" w:hAnsiTheme="minorHAnsi"/>
        </w:rPr>
      </w:pPr>
      <w:r w:rsidRPr="00257BB9">
        <w:rPr>
          <w:rFonts w:asciiTheme="minorHAnsi" w:hAnsiTheme="minorHAnsi"/>
        </w:rPr>
        <w:t>Esto sería consecuencia de un</w:t>
      </w:r>
      <w:r w:rsidR="00451C93" w:rsidRPr="00257BB9">
        <w:rPr>
          <w:rFonts w:asciiTheme="minorHAnsi" w:hAnsiTheme="minorHAnsi"/>
        </w:rPr>
        <w:t xml:space="preserve"> aumento </w:t>
      </w:r>
      <w:r w:rsidRPr="00257BB9">
        <w:rPr>
          <w:rFonts w:asciiTheme="minorHAnsi" w:hAnsiTheme="minorHAnsi"/>
        </w:rPr>
        <w:t xml:space="preserve">nominal </w:t>
      </w:r>
      <w:r w:rsidR="00451C93" w:rsidRPr="00257BB9">
        <w:rPr>
          <w:rFonts w:asciiTheme="minorHAnsi" w:hAnsiTheme="minorHAnsi"/>
        </w:rPr>
        <w:t>de los Ingresos Totales (</w:t>
      </w:r>
      <w:r w:rsidRPr="00257BB9">
        <w:rPr>
          <w:rFonts w:asciiTheme="minorHAnsi" w:hAnsiTheme="minorHAnsi"/>
        </w:rPr>
        <w:t>37,</w:t>
      </w:r>
      <w:r w:rsidR="005539D0">
        <w:rPr>
          <w:rFonts w:asciiTheme="minorHAnsi" w:hAnsiTheme="minorHAnsi"/>
        </w:rPr>
        <w:t>8</w:t>
      </w:r>
      <w:r w:rsidR="00970FFD">
        <w:rPr>
          <w:rFonts w:asciiTheme="minorHAnsi" w:hAnsiTheme="minorHAnsi"/>
        </w:rPr>
        <w:t>%</w:t>
      </w:r>
      <w:r w:rsidR="00451C93" w:rsidRPr="00257BB9">
        <w:rPr>
          <w:rFonts w:asciiTheme="minorHAnsi" w:hAnsiTheme="minorHAnsi"/>
        </w:rPr>
        <w:t xml:space="preserve">) </w:t>
      </w:r>
      <w:r w:rsidR="005539D0">
        <w:rPr>
          <w:rFonts w:asciiTheme="minorHAnsi" w:hAnsiTheme="minorHAnsi"/>
        </w:rPr>
        <w:t xml:space="preserve">ligeramente </w:t>
      </w:r>
      <w:r w:rsidRPr="00257BB9">
        <w:rPr>
          <w:rFonts w:asciiTheme="minorHAnsi" w:hAnsiTheme="minorHAnsi"/>
        </w:rPr>
        <w:t>superior a</w:t>
      </w:r>
      <w:r w:rsidR="00451C93" w:rsidRPr="00257BB9">
        <w:rPr>
          <w:rFonts w:asciiTheme="minorHAnsi" w:hAnsiTheme="minorHAnsi"/>
        </w:rPr>
        <w:t xml:space="preserve">l </w:t>
      </w:r>
      <w:r w:rsidR="00C512C5" w:rsidRPr="00257BB9">
        <w:rPr>
          <w:rFonts w:asciiTheme="minorHAnsi" w:hAnsiTheme="minorHAnsi"/>
        </w:rPr>
        <w:t>crecimiento</w:t>
      </w:r>
      <w:r w:rsidR="00451C93" w:rsidRPr="00257BB9">
        <w:rPr>
          <w:rFonts w:asciiTheme="minorHAnsi" w:hAnsiTheme="minorHAnsi"/>
        </w:rPr>
        <w:t xml:space="preserve"> de los Gastos </w:t>
      </w:r>
      <w:r w:rsidRPr="00257BB9">
        <w:rPr>
          <w:rFonts w:asciiTheme="minorHAnsi" w:hAnsiTheme="minorHAnsi"/>
        </w:rPr>
        <w:t>Totales</w:t>
      </w:r>
      <w:r w:rsidR="00451C93" w:rsidRPr="00257BB9">
        <w:rPr>
          <w:rFonts w:asciiTheme="minorHAnsi" w:hAnsiTheme="minorHAnsi"/>
        </w:rPr>
        <w:t xml:space="preserve"> (</w:t>
      </w:r>
      <w:r w:rsidRPr="00257BB9">
        <w:rPr>
          <w:rFonts w:asciiTheme="minorHAnsi" w:hAnsiTheme="minorHAnsi"/>
        </w:rPr>
        <w:t>36,</w:t>
      </w:r>
      <w:r w:rsidR="005539D0">
        <w:rPr>
          <w:rFonts w:asciiTheme="minorHAnsi" w:hAnsiTheme="minorHAnsi"/>
        </w:rPr>
        <w:t>3</w:t>
      </w:r>
      <w:r w:rsidR="00970FFD">
        <w:rPr>
          <w:rFonts w:asciiTheme="minorHAnsi" w:hAnsiTheme="minorHAnsi"/>
        </w:rPr>
        <w:t>%</w:t>
      </w:r>
      <w:r w:rsidR="00451C93" w:rsidRPr="00257BB9">
        <w:rPr>
          <w:rFonts w:asciiTheme="minorHAnsi" w:hAnsiTheme="minorHAnsi"/>
        </w:rPr>
        <w:t>)</w:t>
      </w:r>
      <w:r w:rsidR="00FE76A1">
        <w:rPr>
          <w:rFonts w:asciiTheme="minorHAnsi" w:hAnsiTheme="minorHAnsi"/>
        </w:rPr>
        <w:t xml:space="preserve">. Por su parte </w:t>
      </w:r>
      <w:r w:rsidR="00451C93" w:rsidRPr="00257BB9">
        <w:rPr>
          <w:rFonts w:asciiTheme="minorHAnsi" w:hAnsiTheme="minorHAnsi"/>
        </w:rPr>
        <w:t xml:space="preserve">el Gasto </w:t>
      </w:r>
      <w:r w:rsidR="00C512C5" w:rsidRPr="00257BB9">
        <w:rPr>
          <w:rFonts w:asciiTheme="minorHAnsi" w:hAnsiTheme="minorHAnsi"/>
        </w:rPr>
        <w:t>Primario</w:t>
      </w:r>
      <w:r w:rsidR="00451C93" w:rsidRPr="00257BB9">
        <w:rPr>
          <w:rFonts w:asciiTheme="minorHAnsi" w:hAnsiTheme="minorHAnsi"/>
        </w:rPr>
        <w:t xml:space="preserve"> </w:t>
      </w:r>
      <w:r w:rsidR="00FE76A1">
        <w:rPr>
          <w:rFonts w:asciiTheme="minorHAnsi" w:hAnsiTheme="minorHAnsi"/>
        </w:rPr>
        <w:t>se incrementa 37,</w:t>
      </w:r>
      <w:r w:rsidR="005539D0">
        <w:rPr>
          <w:rFonts w:asciiTheme="minorHAnsi" w:hAnsiTheme="minorHAnsi"/>
        </w:rPr>
        <w:t>5</w:t>
      </w:r>
      <w:r w:rsidR="00970FFD">
        <w:rPr>
          <w:rFonts w:asciiTheme="minorHAnsi" w:hAnsiTheme="minorHAnsi"/>
        </w:rPr>
        <w:t>%</w:t>
      </w:r>
      <w:r w:rsidRPr="00257BB9">
        <w:rPr>
          <w:rFonts w:asciiTheme="minorHAnsi" w:hAnsiTheme="minorHAnsi"/>
        </w:rPr>
        <w:t>.</w:t>
      </w:r>
      <w:r w:rsidR="004D5D49">
        <w:rPr>
          <w:rFonts w:asciiTheme="minorHAnsi" w:hAnsiTheme="minorHAnsi"/>
        </w:rPr>
        <w:t xml:space="preserve"> De este modo, e</w:t>
      </w:r>
      <w:r w:rsidR="004D5D49" w:rsidRPr="004D5D49">
        <w:rPr>
          <w:rFonts w:asciiTheme="minorHAnsi" w:hAnsiTheme="minorHAnsi"/>
        </w:rPr>
        <w:t xml:space="preserve">l Resultado Financiero </w:t>
      </w:r>
      <w:r w:rsidR="005539D0">
        <w:rPr>
          <w:rFonts w:asciiTheme="minorHAnsi" w:hAnsiTheme="minorHAnsi"/>
        </w:rPr>
        <w:t>alcanza</w:t>
      </w:r>
      <w:r w:rsidR="004D5D49" w:rsidRPr="004D5D49">
        <w:rPr>
          <w:rFonts w:asciiTheme="minorHAnsi" w:hAnsiTheme="minorHAnsi"/>
        </w:rPr>
        <w:t xml:space="preserve"> un superávit de </w:t>
      </w:r>
      <w:r w:rsidR="00970FFD">
        <w:rPr>
          <w:rFonts w:asciiTheme="minorHAnsi" w:hAnsiTheme="minorHAnsi"/>
        </w:rPr>
        <w:t xml:space="preserve">$ </w:t>
      </w:r>
      <w:r w:rsidR="005539D0">
        <w:rPr>
          <w:rFonts w:asciiTheme="minorHAnsi" w:hAnsiTheme="minorHAnsi"/>
        </w:rPr>
        <w:t>61.310</w:t>
      </w:r>
      <w:r w:rsidR="004D5D49" w:rsidRPr="004D5D49">
        <w:rPr>
          <w:rFonts w:asciiTheme="minorHAnsi" w:hAnsiTheme="minorHAnsi"/>
        </w:rPr>
        <w:t xml:space="preserve"> millones, lo que representa un incremento comparativo de </w:t>
      </w:r>
      <w:r w:rsidR="005539D0">
        <w:rPr>
          <w:rFonts w:asciiTheme="minorHAnsi" w:hAnsiTheme="minorHAnsi"/>
        </w:rPr>
        <w:t>66,3</w:t>
      </w:r>
      <w:r w:rsidR="00D74617">
        <w:rPr>
          <w:rFonts w:asciiTheme="minorHAnsi" w:hAnsiTheme="minorHAnsi"/>
        </w:rPr>
        <w:t>2</w:t>
      </w:r>
      <w:r w:rsidR="00970FFD">
        <w:rPr>
          <w:rFonts w:asciiTheme="minorHAnsi" w:hAnsiTheme="minorHAnsi"/>
        </w:rPr>
        <w:t>%</w:t>
      </w:r>
      <w:r w:rsidR="004D5D49" w:rsidRPr="004D5D49">
        <w:rPr>
          <w:rFonts w:asciiTheme="minorHAnsi" w:hAnsiTheme="minorHAnsi"/>
        </w:rPr>
        <w:t xml:space="preserve"> respecto del mismo resultado al primer trimestre de 2019.</w:t>
      </w:r>
    </w:p>
    <w:p w:rsidR="00451C93" w:rsidRDefault="00451C93" w:rsidP="00BE0CEE">
      <w:pPr>
        <w:suppressAutoHyphens/>
        <w:jc w:val="both"/>
        <w:rPr>
          <w:rFonts w:asciiTheme="minorHAnsi" w:hAnsiTheme="minorHAnsi"/>
        </w:rPr>
      </w:pPr>
    </w:p>
    <w:p w:rsidR="007E4952" w:rsidRDefault="00F133D6" w:rsidP="00F133D6">
      <w:pPr>
        <w:suppressAutoHyphens/>
        <w:jc w:val="center"/>
        <w:rPr>
          <w:rFonts w:asciiTheme="minorHAnsi" w:hAnsiTheme="minorHAnsi"/>
        </w:rPr>
      </w:pPr>
      <w:r w:rsidRPr="00F133D6">
        <w:rPr>
          <w:rFonts w:asciiTheme="minorHAnsi" w:hAnsiTheme="minorHAnsi"/>
          <w:b/>
        </w:rPr>
        <w:t xml:space="preserve">Cuadro </w:t>
      </w:r>
      <w:r w:rsidR="00DA7565">
        <w:rPr>
          <w:rFonts w:asciiTheme="minorHAnsi" w:hAnsiTheme="minorHAnsi"/>
          <w:b/>
        </w:rPr>
        <w:t>1</w:t>
      </w:r>
      <w:r w:rsidRPr="00F133D6">
        <w:rPr>
          <w:rFonts w:asciiTheme="minorHAnsi" w:hAnsiTheme="minorHAnsi"/>
          <w:b/>
        </w:rPr>
        <w:t>.</w:t>
      </w:r>
      <w:r w:rsidRPr="00F133D6">
        <w:rPr>
          <w:rFonts w:asciiTheme="minorHAnsi" w:hAnsiTheme="minorHAnsi"/>
        </w:rPr>
        <w:t xml:space="preserve"> Principales resultados de la APNF - base devengado</w:t>
      </w:r>
    </w:p>
    <w:p w:rsidR="00F133D6" w:rsidRPr="00F133D6" w:rsidRDefault="007E4952" w:rsidP="00F133D6">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20</w:t>
      </w:r>
      <w:r>
        <w:rPr>
          <w:rFonts w:asciiTheme="minorHAnsi" w:hAnsiTheme="minorHAnsi"/>
        </w:rPr>
        <w:t>-201</w:t>
      </w:r>
      <w:r w:rsidR="0035460E">
        <w:rPr>
          <w:rFonts w:asciiTheme="minorHAnsi" w:hAnsiTheme="minorHAnsi"/>
        </w:rPr>
        <w:t>9</w:t>
      </w:r>
    </w:p>
    <w:p w:rsidR="00F133D6" w:rsidRDefault="00F133D6" w:rsidP="009D616A">
      <w:pPr>
        <w:suppressAutoHyphens/>
        <w:spacing w:after="120"/>
        <w:jc w:val="center"/>
        <w:rPr>
          <w:rFonts w:asciiTheme="minorHAnsi" w:hAnsiTheme="minorHAnsi"/>
        </w:rPr>
      </w:pPr>
      <w:r>
        <w:rPr>
          <w:rFonts w:asciiTheme="minorHAnsi" w:hAnsiTheme="minorHAnsi"/>
        </w:rPr>
        <w:t>E</w:t>
      </w:r>
      <w:r w:rsidRPr="00F133D6">
        <w:rPr>
          <w:rFonts w:asciiTheme="minorHAnsi" w:hAnsiTheme="minorHAnsi"/>
        </w:rPr>
        <w:t>n millones de pesos</w:t>
      </w:r>
    </w:p>
    <w:p w:rsidR="00142052" w:rsidRDefault="00040431" w:rsidP="007E4952">
      <w:pPr>
        <w:suppressAutoHyphens/>
        <w:jc w:val="center"/>
        <w:rPr>
          <w:rFonts w:ascii="Calibri" w:hAnsi="Calibri"/>
          <w:sz w:val="20"/>
          <w:szCs w:val="20"/>
        </w:rPr>
      </w:pPr>
      <w:r w:rsidRPr="00040431">
        <w:rPr>
          <w:noProof/>
          <w:lang w:val="es-AR" w:eastAsia="es-AR"/>
        </w:rPr>
        <w:drawing>
          <wp:inline distT="0" distB="0" distL="0" distR="0">
            <wp:extent cx="4591050" cy="15335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91050" cy="1533525"/>
                    </a:xfrm>
                    <a:prstGeom prst="rect">
                      <a:avLst/>
                    </a:prstGeom>
                    <a:noFill/>
                    <a:ln>
                      <a:noFill/>
                    </a:ln>
                  </pic:spPr>
                </pic:pic>
              </a:graphicData>
            </a:graphic>
          </wp:inline>
        </w:drawing>
      </w:r>
    </w:p>
    <w:p w:rsidR="00590089" w:rsidRPr="00DB5695" w:rsidRDefault="00590089" w:rsidP="00FE76A1">
      <w:pPr>
        <w:suppressAutoHyphens/>
        <w:ind w:left="709"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4705BA" w:rsidRPr="00B85EE8" w:rsidRDefault="004705BA" w:rsidP="00F702B8">
      <w:pPr>
        <w:suppressAutoHyphens/>
        <w:jc w:val="both"/>
        <w:rPr>
          <w:rFonts w:asciiTheme="minorHAnsi" w:hAnsiTheme="minorHAnsi"/>
          <w:highlight w:val="yellow"/>
        </w:rPr>
      </w:pPr>
    </w:p>
    <w:p w:rsidR="00C5626D" w:rsidRPr="00681F2C" w:rsidRDefault="00C5626D" w:rsidP="00632AB1">
      <w:pPr>
        <w:suppressAutoHyphens/>
        <w:jc w:val="both"/>
        <w:rPr>
          <w:rFonts w:asciiTheme="minorHAnsi" w:hAnsiTheme="minorHAnsi"/>
        </w:rPr>
      </w:pPr>
    </w:p>
    <w:p w:rsidR="00CD59DA" w:rsidRDefault="00B61E6C" w:rsidP="006D7D02">
      <w:pPr>
        <w:pStyle w:val="Ttulo1"/>
        <w:numPr>
          <w:ilvl w:val="0"/>
          <w:numId w:val="0"/>
        </w:numPr>
        <w:pBdr>
          <w:bottom w:val="single" w:sz="4" w:space="1" w:color="auto"/>
        </w:pBdr>
      </w:pPr>
      <w:bookmarkStart w:id="12" w:name="_Toc532574488"/>
      <w:bookmarkStart w:id="13" w:name="_Toc3367371"/>
      <w:r>
        <w:t>3</w:t>
      </w:r>
      <w:r w:rsidR="006A5035">
        <w:t>. RECURSOS</w:t>
      </w:r>
      <w:bookmarkEnd w:id="12"/>
      <w:bookmarkEnd w:id="13"/>
    </w:p>
    <w:p w:rsidR="00C5626D" w:rsidRPr="00FE76A1" w:rsidRDefault="00C5626D" w:rsidP="00FE76A1">
      <w:pPr>
        <w:jc w:val="both"/>
        <w:rPr>
          <w:rFonts w:asciiTheme="minorHAnsi" w:hAnsiTheme="minorHAnsi"/>
        </w:rPr>
      </w:pPr>
    </w:p>
    <w:p w:rsidR="00A918F0" w:rsidRPr="00035B7A" w:rsidRDefault="00A918F0" w:rsidP="00A918F0">
      <w:pPr>
        <w:suppressAutoHyphens/>
        <w:jc w:val="both"/>
        <w:rPr>
          <w:rFonts w:asciiTheme="minorHAnsi" w:hAnsiTheme="minorHAnsi"/>
        </w:rPr>
      </w:pPr>
      <w:r w:rsidRPr="00035B7A">
        <w:rPr>
          <w:rFonts w:asciiTheme="minorHAnsi" w:hAnsiTheme="minorHAnsi"/>
        </w:rPr>
        <w:t>Al cierre del primer trimestre</w:t>
      </w:r>
      <w:r w:rsidR="00436337" w:rsidRPr="00035B7A">
        <w:rPr>
          <w:rFonts w:asciiTheme="minorHAnsi" w:hAnsiTheme="minorHAnsi"/>
        </w:rPr>
        <w:t xml:space="preserve"> de</w:t>
      </w:r>
      <w:r w:rsidRPr="00035B7A">
        <w:rPr>
          <w:rFonts w:asciiTheme="minorHAnsi" w:hAnsiTheme="minorHAnsi"/>
        </w:rPr>
        <w:t xml:space="preserve"> 20</w:t>
      </w:r>
      <w:r w:rsidR="00035B7A" w:rsidRPr="00035B7A">
        <w:rPr>
          <w:rFonts w:asciiTheme="minorHAnsi" w:hAnsiTheme="minorHAnsi"/>
        </w:rPr>
        <w:t>20</w:t>
      </w:r>
      <w:r w:rsidRPr="00035B7A">
        <w:rPr>
          <w:rFonts w:asciiTheme="minorHAnsi" w:hAnsiTheme="minorHAnsi"/>
        </w:rPr>
        <w:t xml:space="preserve"> el conjunto de </w:t>
      </w:r>
      <w:r w:rsidR="00FC156B" w:rsidRPr="00035B7A">
        <w:rPr>
          <w:rFonts w:asciiTheme="minorHAnsi" w:hAnsiTheme="minorHAnsi"/>
        </w:rPr>
        <w:t xml:space="preserve">las </w:t>
      </w:r>
      <w:r w:rsidRPr="00035B7A">
        <w:rPr>
          <w:rFonts w:asciiTheme="minorHAnsi" w:hAnsiTheme="minorHAnsi"/>
        </w:rPr>
        <w:t xml:space="preserve">24 jurisdicciones percibió ingresos por un total de </w:t>
      </w:r>
      <w:r w:rsidR="00970FFD">
        <w:rPr>
          <w:rFonts w:asciiTheme="minorHAnsi" w:hAnsiTheme="minorHAnsi"/>
        </w:rPr>
        <w:t xml:space="preserve">$ </w:t>
      </w:r>
      <w:r w:rsidR="005539D0">
        <w:rPr>
          <w:rFonts w:asciiTheme="minorHAnsi" w:hAnsiTheme="minorHAnsi"/>
        </w:rPr>
        <w:t>1.000.559</w:t>
      </w:r>
      <w:r w:rsidRPr="00035B7A">
        <w:rPr>
          <w:rFonts w:asciiTheme="minorHAnsi" w:hAnsiTheme="minorHAnsi"/>
        </w:rPr>
        <w:t xml:space="preserve"> millones (Cuadro 2)</w:t>
      </w:r>
      <w:r w:rsidR="00035B7A" w:rsidRPr="00035B7A">
        <w:rPr>
          <w:rFonts w:asciiTheme="minorHAnsi" w:hAnsiTheme="minorHAnsi"/>
        </w:rPr>
        <w:t>, con un crecimiento relativo respecto del primer trimestre de 2019 (37,</w:t>
      </w:r>
      <w:r w:rsidR="005539D0">
        <w:rPr>
          <w:rFonts w:asciiTheme="minorHAnsi" w:hAnsiTheme="minorHAnsi"/>
        </w:rPr>
        <w:t>8</w:t>
      </w:r>
      <w:r w:rsidR="00970FFD">
        <w:rPr>
          <w:rFonts w:asciiTheme="minorHAnsi" w:hAnsiTheme="minorHAnsi"/>
        </w:rPr>
        <w:t>%</w:t>
      </w:r>
      <w:r w:rsidR="00035B7A" w:rsidRPr="00035B7A">
        <w:rPr>
          <w:rFonts w:asciiTheme="minorHAnsi" w:hAnsiTheme="minorHAnsi"/>
        </w:rPr>
        <w:t>)</w:t>
      </w:r>
      <w:r w:rsidR="00C512C5" w:rsidRPr="00035B7A">
        <w:rPr>
          <w:rFonts w:asciiTheme="minorHAnsi" w:hAnsiTheme="minorHAnsi"/>
        </w:rPr>
        <w:t xml:space="preserve"> </w:t>
      </w:r>
      <w:r w:rsidR="00035B7A" w:rsidRPr="00035B7A">
        <w:rPr>
          <w:rFonts w:asciiTheme="minorHAnsi" w:hAnsiTheme="minorHAnsi"/>
        </w:rPr>
        <w:t>que</w:t>
      </w:r>
      <w:r w:rsidRPr="00035B7A">
        <w:rPr>
          <w:rFonts w:asciiTheme="minorHAnsi" w:hAnsiTheme="minorHAnsi"/>
        </w:rPr>
        <w:t xml:space="preserve"> se explica principalmente por el comportamiento de los Recursos Tributarios</w:t>
      </w:r>
      <w:r w:rsidR="007B48A7" w:rsidRPr="00035B7A">
        <w:rPr>
          <w:rFonts w:asciiTheme="minorHAnsi" w:hAnsiTheme="minorHAnsi"/>
        </w:rPr>
        <w:t>,</w:t>
      </w:r>
      <w:r w:rsidRPr="00035B7A">
        <w:rPr>
          <w:rFonts w:asciiTheme="minorHAnsi" w:hAnsiTheme="minorHAnsi"/>
        </w:rPr>
        <w:t xml:space="preserve"> que aportan </w:t>
      </w:r>
      <w:r w:rsidR="005539D0">
        <w:rPr>
          <w:rFonts w:asciiTheme="minorHAnsi" w:hAnsiTheme="minorHAnsi"/>
        </w:rPr>
        <w:t>78,5</w:t>
      </w:r>
      <w:r w:rsidR="00970FFD">
        <w:rPr>
          <w:rFonts w:asciiTheme="minorHAnsi" w:hAnsiTheme="minorHAnsi"/>
        </w:rPr>
        <w:t>%</w:t>
      </w:r>
      <w:r w:rsidRPr="00035B7A">
        <w:rPr>
          <w:rFonts w:asciiTheme="minorHAnsi" w:hAnsiTheme="minorHAnsi"/>
        </w:rPr>
        <w:t xml:space="preserve"> del incremento total </w:t>
      </w:r>
      <w:r w:rsidR="004322AE" w:rsidRPr="00035B7A">
        <w:rPr>
          <w:rFonts w:asciiTheme="minorHAnsi" w:hAnsiTheme="minorHAnsi"/>
        </w:rPr>
        <w:t>de los ingresos</w:t>
      </w:r>
      <w:r w:rsidR="007B48A7" w:rsidRPr="00035B7A">
        <w:rPr>
          <w:rFonts w:asciiTheme="minorHAnsi" w:hAnsiTheme="minorHAnsi"/>
        </w:rPr>
        <w:t>,</w:t>
      </w:r>
      <w:r w:rsidR="004322AE" w:rsidRPr="00035B7A">
        <w:rPr>
          <w:rFonts w:asciiTheme="minorHAnsi" w:hAnsiTheme="minorHAnsi"/>
        </w:rPr>
        <w:t xml:space="preserve"> </w:t>
      </w:r>
      <w:r w:rsidRPr="00035B7A">
        <w:rPr>
          <w:rFonts w:asciiTheme="minorHAnsi" w:hAnsiTheme="minorHAnsi"/>
        </w:rPr>
        <w:t xml:space="preserve">y presentan una variación interanual positiva de </w:t>
      </w:r>
      <w:r w:rsidR="00035B7A" w:rsidRPr="00035B7A">
        <w:rPr>
          <w:rFonts w:asciiTheme="minorHAnsi" w:hAnsiTheme="minorHAnsi"/>
        </w:rPr>
        <w:t>38,</w:t>
      </w:r>
      <w:r w:rsidR="005539D0">
        <w:rPr>
          <w:rFonts w:asciiTheme="minorHAnsi" w:hAnsiTheme="minorHAnsi"/>
        </w:rPr>
        <w:t>2</w:t>
      </w:r>
      <w:r w:rsidR="00970FFD">
        <w:rPr>
          <w:rFonts w:asciiTheme="minorHAnsi" w:hAnsiTheme="minorHAnsi"/>
        </w:rPr>
        <w:t>%</w:t>
      </w:r>
      <w:r w:rsidRPr="00035B7A">
        <w:rPr>
          <w:rFonts w:asciiTheme="minorHAnsi" w:hAnsiTheme="minorHAnsi"/>
        </w:rPr>
        <w:t>.</w:t>
      </w:r>
    </w:p>
    <w:p w:rsidR="00A918F0" w:rsidRPr="00035B7A" w:rsidRDefault="00A918F0" w:rsidP="00480BFC">
      <w:pPr>
        <w:jc w:val="both"/>
        <w:rPr>
          <w:rFonts w:asciiTheme="minorHAnsi" w:hAnsiTheme="minorHAnsi"/>
        </w:rPr>
      </w:pPr>
    </w:p>
    <w:p w:rsidR="00BA3EFC" w:rsidRDefault="00BA3EFC" w:rsidP="00BA3EFC">
      <w:pPr>
        <w:jc w:val="both"/>
        <w:rPr>
          <w:rFonts w:asciiTheme="minorHAnsi" w:hAnsiTheme="minorHAnsi"/>
        </w:rPr>
      </w:pPr>
      <w:r>
        <w:rPr>
          <w:rFonts w:asciiTheme="minorHAnsi" w:hAnsiTheme="minorHAnsi"/>
        </w:rPr>
        <w:t xml:space="preserve">Los recursos de origen nacional registran un crecimiento interanual </w:t>
      </w:r>
      <w:r w:rsidR="006237EC">
        <w:rPr>
          <w:rFonts w:asciiTheme="minorHAnsi" w:hAnsiTheme="minorHAnsi"/>
        </w:rPr>
        <w:t>coincidente (</w:t>
      </w:r>
      <w:r>
        <w:rPr>
          <w:rFonts w:asciiTheme="minorHAnsi" w:hAnsiTheme="minorHAnsi"/>
        </w:rPr>
        <w:t>38,2</w:t>
      </w:r>
      <w:r w:rsidR="00970FFD">
        <w:rPr>
          <w:rFonts w:asciiTheme="minorHAnsi" w:hAnsiTheme="minorHAnsi"/>
        </w:rPr>
        <w:t>%</w:t>
      </w:r>
      <w:r w:rsidR="006237EC">
        <w:rPr>
          <w:rFonts w:asciiTheme="minorHAnsi" w:hAnsiTheme="minorHAnsi"/>
        </w:rPr>
        <w:t>),</w:t>
      </w:r>
      <w:r>
        <w:rPr>
          <w:rFonts w:asciiTheme="minorHAnsi" w:hAnsiTheme="minorHAnsi"/>
        </w:rPr>
        <w:t xml:space="preserve"> y contribuy</w:t>
      </w:r>
      <w:r w:rsidR="006237EC">
        <w:rPr>
          <w:rFonts w:asciiTheme="minorHAnsi" w:hAnsiTheme="minorHAnsi"/>
        </w:rPr>
        <w:t>e</w:t>
      </w:r>
      <w:r>
        <w:rPr>
          <w:rFonts w:asciiTheme="minorHAnsi" w:hAnsiTheme="minorHAnsi"/>
        </w:rPr>
        <w:t xml:space="preserve">n con </w:t>
      </w:r>
      <w:r w:rsidR="005539D0">
        <w:rPr>
          <w:rFonts w:asciiTheme="minorHAnsi" w:hAnsiTheme="minorHAnsi"/>
        </w:rPr>
        <w:t>45,9</w:t>
      </w:r>
      <w:r w:rsidR="00970FFD">
        <w:rPr>
          <w:rFonts w:asciiTheme="minorHAnsi" w:hAnsiTheme="minorHAnsi"/>
        </w:rPr>
        <w:t>%</w:t>
      </w:r>
      <w:r>
        <w:rPr>
          <w:rFonts w:asciiTheme="minorHAnsi" w:hAnsiTheme="minorHAnsi"/>
        </w:rPr>
        <w:t xml:space="preserve"> del aumento de los ingresos totales. Adicionalmente, los componentes de tales ingresos tienen un comportamiento particular ya que mientras los recursos por Coparticipación Federal de Impuestos (Ley 23.548) registraron un incremento interanual de 37,9</w:t>
      </w:r>
      <w:r w:rsidR="00970FFD">
        <w:rPr>
          <w:rFonts w:asciiTheme="minorHAnsi" w:hAnsiTheme="minorHAnsi"/>
        </w:rPr>
        <w:t>%</w:t>
      </w:r>
      <w:r>
        <w:rPr>
          <w:rFonts w:asciiTheme="minorHAnsi" w:hAnsiTheme="minorHAnsi"/>
        </w:rPr>
        <w:t>, el conjunto de Otros Recursos de Origen Nacional muestra un crecimiento de 41,3</w:t>
      </w:r>
      <w:r w:rsidR="00970FFD">
        <w:rPr>
          <w:rFonts w:asciiTheme="minorHAnsi" w:hAnsiTheme="minorHAnsi"/>
        </w:rPr>
        <w:t>%</w:t>
      </w:r>
      <w:r>
        <w:rPr>
          <w:rFonts w:asciiTheme="minorHAnsi" w:hAnsiTheme="minorHAnsi"/>
        </w:rPr>
        <w:t>. Es necesario destacar que este comportamiento responde tanto a la mayor recaudación impositiva como a cambios en su distribución.</w:t>
      </w:r>
    </w:p>
    <w:p w:rsidR="00C512C5" w:rsidRPr="003C1E4C" w:rsidRDefault="00C512C5" w:rsidP="00FC156B">
      <w:pPr>
        <w:jc w:val="both"/>
        <w:rPr>
          <w:rFonts w:asciiTheme="minorHAnsi" w:hAnsiTheme="minorHAnsi"/>
          <w:highlight w:val="yellow"/>
        </w:rPr>
      </w:pPr>
    </w:p>
    <w:p w:rsidR="00F133D6" w:rsidRPr="00F133D6" w:rsidRDefault="00F133D6" w:rsidP="00F133D6">
      <w:pPr>
        <w:suppressAutoHyphens/>
        <w:jc w:val="center"/>
        <w:rPr>
          <w:rFonts w:asciiTheme="minorHAnsi" w:hAnsiTheme="minorHAnsi"/>
        </w:rPr>
      </w:pPr>
      <w:r w:rsidRPr="00F133D6">
        <w:rPr>
          <w:rFonts w:asciiTheme="minorHAnsi" w:hAnsiTheme="minorHAnsi"/>
          <w:b/>
        </w:rPr>
        <w:lastRenderedPageBreak/>
        <w:t xml:space="preserve">Cuadro </w:t>
      </w:r>
      <w:r w:rsidR="00DA7565">
        <w:rPr>
          <w:rFonts w:asciiTheme="minorHAnsi" w:hAnsiTheme="minorHAnsi"/>
          <w:b/>
        </w:rPr>
        <w:t>2</w:t>
      </w:r>
      <w:r w:rsidRPr="00F133D6">
        <w:rPr>
          <w:rFonts w:asciiTheme="minorHAnsi" w:hAnsiTheme="minorHAnsi"/>
          <w:b/>
        </w:rPr>
        <w:t>.</w:t>
      </w:r>
      <w:r w:rsidRPr="00F133D6">
        <w:rPr>
          <w:rFonts w:asciiTheme="minorHAnsi" w:hAnsiTheme="minorHAnsi"/>
        </w:rPr>
        <w:t xml:space="preserve"> Ingresos totales de la APNF</w:t>
      </w:r>
      <w:r w:rsidR="007E4952">
        <w:rPr>
          <w:rFonts w:asciiTheme="minorHAnsi" w:hAnsiTheme="minorHAnsi"/>
        </w:rPr>
        <w:t>.</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20</w:t>
      </w:r>
      <w:r>
        <w:rPr>
          <w:rFonts w:asciiTheme="minorHAnsi" w:hAnsiTheme="minorHAnsi"/>
        </w:rPr>
        <w:t>-201</w:t>
      </w:r>
      <w:r w:rsidR="0035460E">
        <w:rPr>
          <w:rFonts w:asciiTheme="minorHAnsi" w:hAnsiTheme="minorHAnsi"/>
        </w:rPr>
        <w:t>9</w:t>
      </w:r>
    </w:p>
    <w:p w:rsidR="00F133D6" w:rsidRDefault="00F133D6" w:rsidP="009D616A">
      <w:pPr>
        <w:suppressAutoHyphens/>
        <w:spacing w:after="120"/>
        <w:jc w:val="center"/>
        <w:rPr>
          <w:rFonts w:asciiTheme="minorHAnsi" w:hAnsiTheme="minorHAnsi"/>
        </w:rPr>
      </w:pPr>
      <w:r>
        <w:rPr>
          <w:rFonts w:asciiTheme="minorHAnsi" w:hAnsiTheme="minorHAnsi"/>
        </w:rPr>
        <w:t>En</w:t>
      </w:r>
      <w:r w:rsidRPr="00F133D6">
        <w:rPr>
          <w:rFonts w:asciiTheme="minorHAnsi" w:hAnsiTheme="minorHAnsi"/>
        </w:rPr>
        <w:t xml:space="preserve"> millones de pesos</w:t>
      </w:r>
    </w:p>
    <w:p w:rsidR="00142052" w:rsidRDefault="00040431" w:rsidP="007E4952">
      <w:pPr>
        <w:suppressAutoHyphens/>
        <w:jc w:val="center"/>
        <w:rPr>
          <w:rFonts w:ascii="Calibri" w:hAnsi="Calibri"/>
          <w:sz w:val="20"/>
          <w:szCs w:val="20"/>
        </w:rPr>
      </w:pPr>
      <w:r w:rsidRPr="00040431">
        <w:rPr>
          <w:noProof/>
          <w:lang w:val="es-AR" w:eastAsia="es-AR"/>
        </w:rPr>
        <w:drawing>
          <wp:inline distT="0" distB="0" distL="0" distR="0">
            <wp:extent cx="5381625" cy="38195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3819525"/>
                    </a:xfrm>
                    <a:prstGeom prst="rect">
                      <a:avLst/>
                    </a:prstGeom>
                    <a:noFill/>
                    <a:ln>
                      <a:noFill/>
                    </a:ln>
                  </pic:spPr>
                </pic:pic>
              </a:graphicData>
            </a:graphic>
          </wp:inline>
        </w:drawing>
      </w:r>
    </w:p>
    <w:p w:rsidR="00590089" w:rsidRPr="00366100" w:rsidRDefault="00590089" w:rsidP="00590089">
      <w:pPr>
        <w:suppressAutoHyphens/>
        <w:ind w:right="-142"/>
        <w:jc w:val="both"/>
        <w:rPr>
          <w:rFonts w:asciiTheme="minorHAnsi" w:hAnsiTheme="minorHAnsi"/>
          <w:sz w:val="20"/>
          <w:szCs w:val="20"/>
        </w:rPr>
      </w:pPr>
      <w:r w:rsidRPr="00366100">
        <w:rPr>
          <w:rFonts w:asciiTheme="minorHAnsi" w:hAnsiTheme="minorHAnsi"/>
          <w:b/>
          <w:sz w:val="20"/>
          <w:szCs w:val="20"/>
        </w:rPr>
        <w:t>Fuente</w:t>
      </w:r>
      <w:r w:rsidRPr="00366100">
        <w:rPr>
          <w:rFonts w:asciiTheme="minorHAnsi" w:hAnsiTheme="minorHAnsi"/>
          <w:sz w:val="20"/>
          <w:szCs w:val="20"/>
        </w:rPr>
        <w:t>: Secretaría de Hacienda en base información provista por las jurisdicciones</w:t>
      </w:r>
    </w:p>
    <w:p w:rsidR="00696972" w:rsidRDefault="00696972" w:rsidP="00D44CD9">
      <w:pPr>
        <w:suppressAutoHyphens/>
        <w:jc w:val="both"/>
        <w:rPr>
          <w:rFonts w:asciiTheme="minorHAnsi" w:hAnsiTheme="minorHAnsi"/>
        </w:rPr>
      </w:pPr>
    </w:p>
    <w:p w:rsidR="00E40A94" w:rsidRDefault="00E40A94" w:rsidP="00E40A94">
      <w:pPr>
        <w:jc w:val="both"/>
        <w:rPr>
          <w:rFonts w:asciiTheme="minorHAnsi" w:hAnsiTheme="minorHAnsi"/>
        </w:rPr>
      </w:pPr>
      <w:r>
        <w:rPr>
          <w:rFonts w:asciiTheme="minorHAnsi" w:hAnsiTheme="minorHAnsi"/>
        </w:rPr>
        <w:t>En lo que refiere a los recursos derivados de la Ley 23.548 y modificatorias cabe señalar que, en el marco de la Ley N° 27.260 que ratificó el Acuerdo entre el Estado Nacional y 21 Jurisdicciones, se dispone la eliminación escalonada de la detracción de 15</w:t>
      </w:r>
      <w:r w:rsidR="00970FFD">
        <w:rPr>
          <w:rFonts w:asciiTheme="minorHAnsi" w:hAnsiTheme="minorHAnsi"/>
        </w:rPr>
        <w:t>%</w:t>
      </w:r>
      <w:r>
        <w:rPr>
          <w:rFonts w:asciiTheme="minorHAnsi" w:hAnsiTheme="minorHAnsi"/>
        </w:rPr>
        <w:t xml:space="preserve"> de la masa de impuestos coparticipables destinados a la ANSES. En 2020 la reducción de esta detracción corresponde a 15 puntos porcentuales anuales en tanto que en 2019 fue de 12 puntos porcentuales. El año 2020 culmina con la aplicación gradual de la reducción de 15% de la masa coparticipable destinado a financiar el sistema previsional. De este modo, las Jurisdicciones obtuvieron una mayor participación en la distribución de recursos coparticipables.</w:t>
      </w:r>
    </w:p>
    <w:p w:rsidR="00035B7A" w:rsidRPr="003C1E4C" w:rsidRDefault="00035B7A" w:rsidP="00035B7A">
      <w:pPr>
        <w:jc w:val="both"/>
        <w:rPr>
          <w:rFonts w:asciiTheme="minorHAnsi" w:hAnsiTheme="minorHAnsi"/>
          <w:highlight w:val="yellow"/>
        </w:rPr>
      </w:pPr>
    </w:p>
    <w:p w:rsidR="00E40A94" w:rsidRDefault="00E40A94" w:rsidP="00E40A94">
      <w:pPr>
        <w:jc w:val="both"/>
        <w:rPr>
          <w:rFonts w:asciiTheme="minorHAnsi" w:hAnsiTheme="minorHAnsi"/>
        </w:rPr>
      </w:pPr>
      <w:r>
        <w:rPr>
          <w:rFonts w:asciiTheme="minorHAnsi" w:hAnsiTheme="minorHAnsi"/>
        </w:rPr>
        <w:t>Constituyen una excepción a lo antes mencionado las Provincias de Córdoba, San Luis y Santa Fe, que ya a fines de 2015 habían comenzado a percibir los recursos por el cese de la detracción de 15% a la ANSES debido a los fallos de inconstitucionalidad (San Luis y Santa Fe), y a la medida cautelar (Córdoba) emitidos por la CSJN. Del mismo modo, Santa Fe en la fecha antes mencionada comenzó a percibir los recursos debido al fallo de inconstitucionalidad del Decreto N° 1399/01 emitido por la CSJN.</w:t>
      </w:r>
    </w:p>
    <w:p w:rsidR="00EF2F01" w:rsidRDefault="00EF2F01" w:rsidP="00E40A94">
      <w:pPr>
        <w:jc w:val="both"/>
        <w:rPr>
          <w:rFonts w:asciiTheme="minorHAnsi" w:hAnsiTheme="minorHAnsi"/>
        </w:rPr>
      </w:pPr>
    </w:p>
    <w:p w:rsidR="00D85970" w:rsidRPr="00D74617" w:rsidRDefault="00D85970" w:rsidP="00D85970">
      <w:pPr>
        <w:jc w:val="both"/>
        <w:rPr>
          <w:rFonts w:asciiTheme="minorHAnsi" w:hAnsiTheme="minorHAnsi"/>
        </w:rPr>
      </w:pPr>
      <w:r w:rsidRPr="00D74617">
        <w:rPr>
          <w:rFonts w:asciiTheme="minorHAnsi" w:hAnsiTheme="minorHAnsi"/>
        </w:rPr>
        <w:t>Asimismo, mantienen su vigencia los cambios introducidos en la distribución de impuestos nacionales en el marco del Consenso Fiscal</w:t>
      </w:r>
      <w:r w:rsidRPr="00D74617">
        <w:rPr>
          <w:rStyle w:val="Refdenotaalpie"/>
          <w:rFonts w:asciiTheme="minorHAnsi" w:hAnsiTheme="minorHAnsi"/>
        </w:rPr>
        <w:footnoteReference w:id="2"/>
      </w:r>
      <w:r w:rsidRPr="00D74617">
        <w:rPr>
          <w:rFonts w:asciiTheme="minorHAnsi" w:hAnsiTheme="minorHAnsi"/>
        </w:rPr>
        <w:t xml:space="preserve">. En la cláusula II. a) del Consenso </w:t>
      </w:r>
      <w:r w:rsidRPr="00D74617">
        <w:rPr>
          <w:rFonts w:asciiTheme="minorHAnsi" w:hAnsiTheme="minorHAnsi"/>
        </w:rPr>
        <w:lastRenderedPageBreak/>
        <w:t>Fiscal 2017 (Ley 27.429) se establec</w:t>
      </w:r>
      <w:r w:rsidR="00A86247" w:rsidRPr="00D74617">
        <w:rPr>
          <w:rFonts w:asciiTheme="minorHAnsi" w:hAnsiTheme="minorHAnsi"/>
        </w:rPr>
        <w:t>ió</w:t>
      </w:r>
      <w:r w:rsidRPr="00D74617">
        <w:rPr>
          <w:rFonts w:asciiTheme="minorHAnsi" w:hAnsiTheme="minorHAnsi"/>
        </w:rPr>
        <w:t xml:space="preserve"> </w:t>
      </w:r>
      <w:r w:rsidR="00A86247" w:rsidRPr="00D74617">
        <w:rPr>
          <w:rFonts w:asciiTheme="minorHAnsi" w:hAnsiTheme="minorHAnsi"/>
        </w:rPr>
        <w:t>una compensación d</w:t>
      </w:r>
      <w:r w:rsidRPr="00D74617">
        <w:rPr>
          <w:rFonts w:asciiTheme="minorHAnsi" w:hAnsiTheme="minorHAnsi"/>
        </w:rPr>
        <w:t xml:space="preserve">el Gobierno Nacional a las Provincias </w:t>
      </w:r>
      <w:r w:rsidR="00A86247" w:rsidRPr="00D74617">
        <w:rPr>
          <w:rFonts w:asciiTheme="minorHAnsi" w:hAnsiTheme="minorHAnsi"/>
        </w:rPr>
        <w:t>por</w:t>
      </w:r>
      <w:r w:rsidRPr="00D74617">
        <w:rPr>
          <w:rFonts w:asciiTheme="minorHAnsi" w:hAnsiTheme="minorHAnsi"/>
        </w:rPr>
        <w:t xml:space="preserve"> un monto equivalente a la disminución efectiva de recursos </w:t>
      </w:r>
      <w:r w:rsidR="00A86247" w:rsidRPr="00D74617">
        <w:rPr>
          <w:rFonts w:asciiTheme="minorHAnsi" w:hAnsiTheme="minorHAnsi"/>
        </w:rPr>
        <w:t xml:space="preserve">observada </w:t>
      </w:r>
      <w:r w:rsidRPr="00D74617">
        <w:rPr>
          <w:rFonts w:asciiTheme="minorHAnsi" w:hAnsiTheme="minorHAnsi"/>
        </w:rPr>
        <w:t xml:space="preserve">en 2018 </w:t>
      </w:r>
      <w:r w:rsidR="00A86247" w:rsidRPr="00D74617">
        <w:rPr>
          <w:rFonts w:asciiTheme="minorHAnsi" w:hAnsiTheme="minorHAnsi"/>
        </w:rPr>
        <w:t>por</w:t>
      </w:r>
      <w:r w:rsidRPr="00D74617">
        <w:rPr>
          <w:rFonts w:asciiTheme="minorHAnsi" w:hAnsiTheme="minorHAnsi"/>
        </w:rPr>
        <w:t xml:space="preserve"> la eliminación del artículo 104° de la Ley de Impuesto a las Ganancias y del aumento de la asignación específica del Impuesto a los Débitos y Créditos en Cuenta Corriente. </w:t>
      </w:r>
      <w:r w:rsidR="00A86247" w:rsidRPr="00D74617">
        <w:rPr>
          <w:rFonts w:asciiTheme="minorHAnsi" w:hAnsiTheme="minorHAnsi"/>
        </w:rPr>
        <w:t>La</w:t>
      </w:r>
      <w:r w:rsidRPr="00D74617">
        <w:rPr>
          <w:rFonts w:asciiTheme="minorHAnsi" w:hAnsiTheme="minorHAnsi"/>
        </w:rPr>
        <w:t xml:space="preserve"> cláusula b) establec</w:t>
      </w:r>
      <w:r w:rsidR="00A86247" w:rsidRPr="00D74617">
        <w:rPr>
          <w:rFonts w:asciiTheme="minorHAnsi" w:hAnsiTheme="minorHAnsi"/>
        </w:rPr>
        <w:t>ió</w:t>
      </w:r>
      <w:r w:rsidRPr="00D74617">
        <w:rPr>
          <w:rFonts w:asciiTheme="minorHAnsi" w:hAnsiTheme="minorHAnsi"/>
        </w:rPr>
        <w:t xml:space="preserve"> la actualización de esta compensación con base a la inflación</w:t>
      </w:r>
      <w:r w:rsidR="00A86247" w:rsidRPr="00D74617">
        <w:rPr>
          <w:rFonts w:asciiTheme="minorHAnsi" w:hAnsiTheme="minorHAnsi"/>
        </w:rPr>
        <w:t>, y</w:t>
      </w:r>
      <w:r w:rsidRPr="00D74617">
        <w:rPr>
          <w:rFonts w:asciiTheme="minorHAnsi" w:hAnsiTheme="minorHAnsi"/>
        </w:rPr>
        <w:t xml:space="preserve"> las cláusulas II. d) y e) establec</w:t>
      </w:r>
      <w:r w:rsidR="00A86247" w:rsidRPr="00D74617">
        <w:rPr>
          <w:rFonts w:asciiTheme="minorHAnsi" w:hAnsiTheme="minorHAnsi"/>
        </w:rPr>
        <w:t>iero</w:t>
      </w:r>
      <w:r w:rsidRPr="00D74617">
        <w:rPr>
          <w:rFonts w:asciiTheme="minorHAnsi" w:hAnsiTheme="minorHAnsi"/>
        </w:rPr>
        <w:t xml:space="preserve">n una compensación a la Provincia de Buenos Aires </w:t>
      </w:r>
      <w:r w:rsidR="00A86247" w:rsidRPr="00D74617">
        <w:rPr>
          <w:rFonts w:asciiTheme="minorHAnsi" w:hAnsiTheme="minorHAnsi"/>
        </w:rPr>
        <w:t>cuyo monto surgiría</w:t>
      </w:r>
      <w:r w:rsidRPr="00D74617">
        <w:rPr>
          <w:rFonts w:asciiTheme="minorHAnsi" w:hAnsiTheme="minorHAnsi"/>
        </w:rPr>
        <w:t xml:space="preserve"> </w:t>
      </w:r>
      <w:r w:rsidR="00A86247" w:rsidRPr="00D74617">
        <w:rPr>
          <w:rFonts w:asciiTheme="minorHAnsi" w:hAnsiTheme="minorHAnsi"/>
        </w:rPr>
        <w:t>en 2020 de una actualización del valor establecido para el año 2019</w:t>
      </w:r>
      <w:r w:rsidR="00B010F8" w:rsidRPr="00D74617">
        <w:rPr>
          <w:rFonts w:asciiTheme="minorHAnsi" w:hAnsiTheme="minorHAnsi"/>
        </w:rPr>
        <w:t>,</w:t>
      </w:r>
      <w:r w:rsidR="00A86247" w:rsidRPr="00D74617">
        <w:rPr>
          <w:rFonts w:asciiTheme="minorHAnsi" w:hAnsiTheme="minorHAnsi"/>
        </w:rPr>
        <w:t xml:space="preserve"> con base en la inflación</w:t>
      </w:r>
      <w:r w:rsidRPr="00D74617">
        <w:rPr>
          <w:rFonts w:asciiTheme="minorHAnsi" w:hAnsiTheme="minorHAnsi"/>
        </w:rPr>
        <w:t>.</w:t>
      </w:r>
    </w:p>
    <w:p w:rsidR="00D85970" w:rsidRPr="00D74617" w:rsidRDefault="00D85970" w:rsidP="00D85970">
      <w:pPr>
        <w:jc w:val="both"/>
        <w:rPr>
          <w:rFonts w:asciiTheme="minorHAnsi" w:hAnsiTheme="minorHAnsi"/>
        </w:rPr>
      </w:pPr>
    </w:p>
    <w:p w:rsidR="00D85970" w:rsidRPr="00F00DCD" w:rsidRDefault="00D85970" w:rsidP="00D85970">
      <w:pPr>
        <w:jc w:val="both"/>
        <w:rPr>
          <w:rFonts w:asciiTheme="minorHAnsi" w:hAnsiTheme="minorHAnsi"/>
        </w:rPr>
      </w:pPr>
      <w:r w:rsidRPr="00D74617">
        <w:rPr>
          <w:rFonts w:asciiTheme="minorHAnsi" w:hAnsiTheme="minorHAnsi"/>
        </w:rPr>
        <w:t>Como consecuencia de tales los cambios, 21 Jurisdicciones recibieron compensaciones diarias (cláusula. II. a) b) d) y e) del Consenso Fiscal) por un monto consolidado al pri</w:t>
      </w:r>
      <w:r w:rsidRPr="00A86247">
        <w:rPr>
          <w:rFonts w:asciiTheme="minorHAnsi" w:hAnsiTheme="minorHAnsi"/>
        </w:rPr>
        <w:t>mer trimestre de 20</w:t>
      </w:r>
      <w:r w:rsidR="00A86247" w:rsidRPr="00A86247">
        <w:rPr>
          <w:rFonts w:asciiTheme="minorHAnsi" w:hAnsiTheme="minorHAnsi"/>
        </w:rPr>
        <w:t>20</w:t>
      </w:r>
      <w:r w:rsidRPr="00A86247">
        <w:rPr>
          <w:rFonts w:asciiTheme="minorHAnsi" w:hAnsiTheme="minorHAnsi"/>
        </w:rPr>
        <w:t xml:space="preserve"> de </w:t>
      </w:r>
      <w:r w:rsidR="00970FFD">
        <w:rPr>
          <w:rFonts w:asciiTheme="minorHAnsi" w:hAnsiTheme="minorHAnsi"/>
        </w:rPr>
        <w:t xml:space="preserve">$ </w:t>
      </w:r>
      <w:r w:rsidRPr="00D85970">
        <w:rPr>
          <w:rFonts w:asciiTheme="minorHAnsi" w:hAnsiTheme="minorHAnsi"/>
        </w:rPr>
        <w:t xml:space="preserve">19.502,3 millones, </w:t>
      </w:r>
      <w:r w:rsidRPr="00B010F8">
        <w:rPr>
          <w:rFonts w:asciiTheme="minorHAnsi" w:hAnsiTheme="minorHAnsi"/>
        </w:rPr>
        <w:t>l</w:t>
      </w:r>
      <w:r w:rsidR="00B010F8" w:rsidRPr="00B010F8">
        <w:rPr>
          <w:rFonts w:asciiTheme="minorHAnsi" w:hAnsiTheme="minorHAnsi"/>
        </w:rPr>
        <w:t>o cual significó un incremento de 19,1%</w:t>
      </w:r>
      <w:r w:rsidRPr="00B010F8">
        <w:rPr>
          <w:rFonts w:asciiTheme="minorHAnsi" w:hAnsiTheme="minorHAnsi"/>
        </w:rPr>
        <w:t xml:space="preserve"> respecto </w:t>
      </w:r>
      <w:r w:rsidR="00C74CD0">
        <w:rPr>
          <w:rFonts w:asciiTheme="minorHAnsi" w:hAnsiTheme="minorHAnsi"/>
        </w:rPr>
        <w:t>de</w:t>
      </w:r>
      <w:r w:rsidRPr="00B010F8">
        <w:rPr>
          <w:rFonts w:asciiTheme="minorHAnsi" w:hAnsiTheme="minorHAnsi"/>
        </w:rPr>
        <w:t>l año anterior.</w:t>
      </w:r>
    </w:p>
    <w:p w:rsidR="00035B7A" w:rsidRPr="003C1E4C" w:rsidRDefault="00035B7A" w:rsidP="00035B7A">
      <w:pPr>
        <w:jc w:val="both"/>
        <w:rPr>
          <w:rFonts w:asciiTheme="minorHAnsi" w:hAnsiTheme="minorHAnsi"/>
          <w:highlight w:val="yellow"/>
        </w:rPr>
      </w:pPr>
    </w:p>
    <w:p w:rsidR="00E40A94" w:rsidRDefault="00E40A94" w:rsidP="00E40A94">
      <w:pPr>
        <w:suppressAutoHyphens/>
        <w:jc w:val="both"/>
        <w:rPr>
          <w:rFonts w:asciiTheme="minorHAnsi" w:hAnsiTheme="minorHAnsi"/>
        </w:rPr>
      </w:pPr>
      <w:r>
        <w:rPr>
          <w:rFonts w:asciiTheme="minorHAnsi" w:hAnsiTheme="minorHAnsi"/>
        </w:rPr>
        <w:t>Por otra parte, los tributos de origen provincial presentan una variación positiva del 38,</w:t>
      </w:r>
      <w:r w:rsidR="000971AB">
        <w:rPr>
          <w:rFonts w:asciiTheme="minorHAnsi" w:hAnsiTheme="minorHAnsi"/>
        </w:rPr>
        <w:t>2</w:t>
      </w:r>
      <w:r w:rsidR="00970FFD">
        <w:rPr>
          <w:rFonts w:asciiTheme="minorHAnsi" w:hAnsiTheme="minorHAnsi"/>
        </w:rPr>
        <w:t>%</w:t>
      </w:r>
      <w:r>
        <w:rPr>
          <w:rFonts w:asciiTheme="minorHAnsi" w:hAnsiTheme="minorHAnsi"/>
        </w:rPr>
        <w:t>. Cabe destacar, que el Consenso Fiscal 2020 suspendió los compromisos de reducción gradual de la presión impositiva impulsada por el Consenso Fiscal 2017. En dicho contexto la recaudación de Ingresos Brutos</w:t>
      </w:r>
      <w:r w:rsidR="004C3861">
        <w:rPr>
          <w:rFonts w:asciiTheme="minorHAnsi" w:hAnsiTheme="minorHAnsi"/>
        </w:rPr>
        <w:t>,</w:t>
      </w:r>
      <w:r>
        <w:rPr>
          <w:rFonts w:asciiTheme="minorHAnsi" w:hAnsiTheme="minorHAnsi"/>
        </w:rPr>
        <w:t xml:space="preserve"> con un incremento de 44,</w:t>
      </w:r>
      <w:r w:rsidR="000971AB">
        <w:rPr>
          <w:rFonts w:asciiTheme="minorHAnsi" w:hAnsiTheme="minorHAnsi"/>
        </w:rPr>
        <w:t>0</w:t>
      </w:r>
      <w:r w:rsidR="00970FFD">
        <w:rPr>
          <w:rFonts w:asciiTheme="minorHAnsi" w:hAnsiTheme="minorHAnsi"/>
        </w:rPr>
        <w:t>%</w:t>
      </w:r>
      <w:r>
        <w:rPr>
          <w:rFonts w:asciiTheme="minorHAnsi" w:hAnsiTheme="minorHAnsi"/>
        </w:rPr>
        <w:t>, aporta 73,7</w:t>
      </w:r>
      <w:r w:rsidR="00970FFD">
        <w:rPr>
          <w:rFonts w:asciiTheme="minorHAnsi" w:hAnsiTheme="minorHAnsi"/>
        </w:rPr>
        <w:t>%</w:t>
      </w:r>
      <w:r>
        <w:rPr>
          <w:rFonts w:asciiTheme="minorHAnsi" w:hAnsiTheme="minorHAnsi"/>
        </w:rPr>
        <w:t xml:space="preserve"> del producido de los recursos tributarios de origen provincial, </w:t>
      </w:r>
      <w:r w:rsidR="00D74617">
        <w:rPr>
          <w:rFonts w:asciiTheme="minorHAnsi" w:hAnsiTheme="minorHAnsi"/>
        </w:rPr>
        <w:t>siendo</w:t>
      </w:r>
      <w:r>
        <w:rPr>
          <w:rFonts w:asciiTheme="minorHAnsi" w:hAnsiTheme="minorHAnsi"/>
        </w:rPr>
        <w:t xml:space="preserve"> el tributo con mayor incremento relativo. </w:t>
      </w:r>
      <w:r w:rsidR="00D74617">
        <w:rPr>
          <w:rFonts w:asciiTheme="minorHAnsi" w:hAnsiTheme="minorHAnsi"/>
        </w:rPr>
        <w:t>E</w:t>
      </w:r>
      <w:r>
        <w:rPr>
          <w:rFonts w:asciiTheme="minorHAnsi" w:hAnsiTheme="minorHAnsi"/>
        </w:rPr>
        <w:t xml:space="preserve">l Impuesto Inmobiliario </w:t>
      </w:r>
      <w:r w:rsidR="00D74617">
        <w:rPr>
          <w:rFonts w:asciiTheme="minorHAnsi" w:hAnsiTheme="minorHAnsi"/>
        </w:rPr>
        <w:t xml:space="preserve">registra también un incremento significativo </w:t>
      </w:r>
      <w:r>
        <w:rPr>
          <w:rFonts w:asciiTheme="minorHAnsi" w:hAnsiTheme="minorHAnsi"/>
        </w:rPr>
        <w:t>(</w:t>
      </w:r>
      <w:r w:rsidR="000971AB">
        <w:rPr>
          <w:rFonts w:asciiTheme="minorHAnsi" w:hAnsiTheme="minorHAnsi"/>
        </w:rPr>
        <w:t>48,0</w:t>
      </w:r>
      <w:r w:rsidR="00970FFD">
        <w:rPr>
          <w:rFonts w:asciiTheme="minorHAnsi" w:hAnsiTheme="minorHAnsi"/>
        </w:rPr>
        <w:t>%</w:t>
      </w:r>
      <w:r>
        <w:rPr>
          <w:rFonts w:asciiTheme="minorHAnsi" w:hAnsiTheme="minorHAnsi"/>
        </w:rPr>
        <w:t>), en tanto que se registran menores variaciones relativas en las recaudaciones de los Impuestos a los Sellos (26,</w:t>
      </w:r>
      <w:r w:rsidR="000971AB">
        <w:rPr>
          <w:rFonts w:asciiTheme="minorHAnsi" w:hAnsiTheme="minorHAnsi"/>
        </w:rPr>
        <w:t>1</w:t>
      </w:r>
      <w:r w:rsidR="00970FFD">
        <w:rPr>
          <w:rFonts w:asciiTheme="minorHAnsi" w:hAnsiTheme="minorHAnsi"/>
        </w:rPr>
        <w:t>%</w:t>
      </w:r>
      <w:r>
        <w:rPr>
          <w:rFonts w:asciiTheme="minorHAnsi" w:hAnsiTheme="minorHAnsi"/>
        </w:rPr>
        <w:t>) y a los Automotores (13,</w:t>
      </w:r>
      <w:r w:rsidR="000971AB">
        <w:rPr>
          <w:rFonts w:asciiTheme="minorHAnsi" w:hAnsiTheme="minorHAnsi"/>
        </w:rPr>
        <w:t>1</w:t>
      </w:r>
      <w:r w:rsidR="00970FFD">
        <w:rPr>
          <w:rFonts w:asciiTheme="minorHAnsi" w:hAnsiTheme="minorHAnsi"/>
        </w:rPr>
        <w:t>%</w:t>
      </w:r>
      <w:r>
        <w:rPr>
          <w:rFonts w:asciiTheme="minorHAnsi" w:hAnsiTheme="minorHAnsi"/>
        </w:rPr>
        <w:t>).</w:t>
      </w:r>
    </w:p>
    <w:p w:rsidR="00E40A94" w:rsidRDefault="00E40A94" w:rsidP="00E40A94">
      <w:pPr>
        <w:suppressAutoHyphens/>
        <w:jc w:val="both"/>
        <w:rPr>
          <w:rFonts w:asciiTheme="minorHAnsi" w:hAnsiTheme="minorHAnsi"/>
        </w:rPr>
      </w:pPr>
    </w:p>
    <w:p w:rsidR="00E40A94" w:rsidRDefault="00E40A94" w:rsidP="00E40A94">
      <w:pPr>
        <w:suppressAutoHyphens/>
        <w:jc w:val="both"/>
        <w:rPr>
          <w:rFonts w:asciiTheme="minorHAnsi" w:hAnsiTheme="minorHAnsi"/>
        </w:rPr>
      </w:pPr>
      <w:r>
        <w:rPr>
          <w:rFonts w:asciiTheme="minorHAnsi" w:hAnsiTheme="minorHAnsi"/>
        </w:rPr>
        <w:t>Los Ingresos No Tributarios tuvieron un aumento de 43,</w:t>
      </w:r>
      <w:r w:rsidR="00D74617">
        <w:rPr>
          <w:rFonts w:asciiTheme="minorHAnsi" w:hAnsiTheme="minorHAnsi"/>
        </w:rPr>
        <w:t>3</w:t>
      </w:r>
      <w:r w:rsidR="00970FFD">
        <w:rPr>
          <w:rFonts w:asciiTheme="minorHAnsi" w:hAnsiTheme="minorHAnsi"/>
        </w:rPr>
        <w:t>%</w:t>
      </w:r>
      <w:r>
        <w:rPr>
          <w:rFonts w:asciiTheme="minorHAnsi" w:hAnsiTheme="minorHAnsi"/>
        </w:rPr>
        <w:t>, explicado en mayor medida por el crecimiento de 50,</w:t>
      </w:r>
      <w:r w:rsidR="000971AB">
        <w:rPr>
          <w:rFonts w:asciiTheme="minorHAnsi" w:hAnsiTheme="minorHAnsi"/>
        </w:rPr>
        <w:t>7</w:t>
      </w:r>
      <w:r w:rsidR="00970FFD">
        <w:rPr>
          <w:rFonts w:asciiTheme="minorHAnsi" w:hAnsiTheme="minorHAnsi"/>
        </w:rPr>
        <w:t>%</w:t>
      </w:r>
      <w:r>
        <w:rPr>
          <w:rFonts w:asciiTheme="minorHAnsi" w:hAnsiTheme="minorHAnsi"/>
        </w:rPr>
        <w:t xml:space="preserve"> de las Regalías</w:t>
      </w:r>
      <w:r w:rsidR="00836BE2">
        <w:rPr>
          <w:rFonts w:asciiTheme="minorHAnsi" w:hAnsiTheme="minorHAnsi"/>
        </w:rPr>
        <w:t>, cuya mayor proporción la constituyen las</w:t>
      </w:r>
      <w:r>
        <w:rPr>
          <w:rFonts w:asciiTheme="minorHAnsi" w:hAnsiTheme="minorHAnsi"/>
        </w:rPr>
        <w:t xml:space="preserve"> Hidrocarburíferas que estuvieron determinadas por la dinámica del comportamiento del precio de los hidrocarburos, la producción y el tipo de cambio. Por su parte, los denominados Otros ingresos No Tributarios crecieron 36,</w:t>
      </w:r>
      <w:r w:rsidR="000971AB">
        <w:rPr>
          <w:rFonts w:asciiTheme="minorHAnsi" w:hAnsiTheme="minorHAnsi"/>
        </w:rPr>
        <w:t>4</w:t>
      </w:r>
      <w:r w:rsidR="00970FFD">
        <w:rPr>
          <w:rFonts w:asciiTheme="minorHAnsi" w:hAnsiTheme="minorHAnsi"/>
        </w:rPr>
        <w:t>%</w:t>
      </w:r>
      <w:r>
        <w:rPr>
          <w:rFonts w:asciiTheme="minorHAnsi" w:hAnsiTheme="minorHAnsi"/>
        </w:rPr>
        <w:t>.</w:t>
      </w:r>
    </w:p>
    <w:p w:rsidR="00E40A94" w:rsidRDefault="00E40A94" w:rsidP="00E40A94">
      <w:pPr>
        <w:suppressAutoHyphens/>
        <w:jc w:val="both"/>
        <w:rPr>
          <w:rFonts w:asciiTheme="minorHAnsi" w:hAnsiTheme="minorHAnsi"/>
        </w:rPr>
      </w:pPr>
    </w:p>
    <w:p w:rsidR="00E40A94" w:rsidRDefault="00E40A94" w:rsidP="00E40A94">
      <w:pPr>
        <w:suppressAutoHyphens/>
        <w:jc w:val="both"/>
        <w:rPr>
          <w:rFonts w:asciiTheme="minorHAnsi" w:hAnsiTheme="minorHAnsi"/>
        </w:rPr>
      </w:pPr>
      <w:r>
        <w:rPr>
          <w:rFonts w:asciiTheme="minorHAnsi" w:hAnsiTheme="minorHAnsi"/>
        </w:rPr>
        <w:t>Los ingresos por Contribuciones de la Seguridad Social se incrementaron interanualmente 44,1</w:t>
      </w:r>
      <w:r w:rsidR="00970FFD">
        <w:rPr>
          <w:rFonts w:asciiTheme="minorHAnsi" w:hAnsiTheme="minorHAnsi"/>
        </w:rPr>
        <w:t>%</w:t>
      </w:r>
      <w:r>
        <w:rPr>
          <w:rFonts w:asciiTheme="minorHAnsi" w:hAnsiTheme="minorHAnsi"/>
        </w:rPr>
        <w:t>, contribuyendo con 11,</w:t>
      </w:r>
      <w:r w:rsidR="000971AB">
        <w:rPr>
          <w:rFonts w:asciiTheme="minorHAnsi" w:hAnsiTheme="minorHAnsi"/>
        </w:rPr>
        <w:t>7</w:t>
      </w:r>
      <w:r w:rsidR="00970FFD">
        <w:rPr>
          <w:rFonts w:asciiTheme="minorHAnsi" w:hAnsiTheme="minorHAnsi"/>
        </w:rPr>
        <w:t>%</w:t>
      </w:r>
      <w:r>
        <w:rPr>
          <w:rFonts w:asciiTheme="minorHAnsi" w:hAnsiTheme="minorHAnsi"/>
        </w:rPr>
        <w:t xml:space="preserve"> del aumento total de recursos. Como se menciona en el apartado respectivo a Gastos en Personal, la suba de estos recursos se encuentra principalmente relacionada con la dinámica salarial del empleo público provincial.</w:t>
      </w:r>
    </w:p>
    <w:p w:rsidR="00E40A94" w:rsidRDefault="00E40A94" w:rsidP="00E40A94">
      <w:pPr>
        <w:suppressAutoHyphens/>
        <w:jc w:val="both"/>
        <w:rPr>
          <w:rFonts w:asciiTheme="minorHAnsi" w:hAnsiTheme="minorHAnsi"/>
        </w:rPr>
      </w:pPr>
    </w:p>
    <w:p w:rsidR="00E40A94" w:rsidRDefault="00E40A94" w:rsidP="00E40A94">
      <w:pPr>
        <w:suppressAutoHyphens/>
        <w:jc w:val="both"/>
        <w:rPr>
          <w:rFonts w:asciiTheme="minorHAnsi" w:hAnsiTheme="minorHAnsi"/>
        </w:rPr>
      </w:pPr>
      <w:r>
        <w:rPr>
          <w:rFonts w:asciiTheme="minorHAnsi" w:hAnsiTheme="minorHAnsi"/>
        </w:rPr>
        <w:t xml:space="preserve">Los recursos por Transferencias Corrientes presentaron una mejora de </w:t>
      </w:r>
      <w:r w:rsidR="000971AB">
        <w:rPr>
          <w:rFonts w:asciiTheme="minorHAnsi" w:hAnsiTheme="minorHAnsi"/>
        </w:rPr>
        <w:t>77,1</w:t>
      </w:r>
      <w:r w:rsidR="00970FFD">
        <w:rPr>
          <w:rFonts w:asciiTheme="minorHAnsi" w:hAnsiTheme="minorHAnsi"/>
        </w:rPr>
        <w:t>%</w:t>
      </w:r>
      <w:r>
        <w:rPr>
          <w:rFonts w:asciiTheme="minorHAnsi" w:hAnsiTheme="minorHAnsi"/>
        </w:rPr>
        <w:t xml:space="preserve">, como consecuencia </w:t>
      </w:r>
      <w:r w:rsidR="000971AB">
        <w:rPr>
          <w:rFonts w:asciiTheme="minorHAnsi" w:hAnsiTheme="minorHAnsi"/>
        </w:rPr>
        <w:t>del incremento</w:t>
      </w:r>
      <w:r>
        <w:rPr>
          <w:rFonts w:asciiTheme="minorHAnsi" w:hAnsiTheme="minorHAnsi"/>
        </w:rPr>
        <w:t xml:space="preserve"> de los </w:t>
      </w:r>
      <w:r w:rsidR="000971AB">
        <w:rPr>
          <w:rFonts w:asciiTheme="minorHAnsi" w:hAnsiTheme="minorHAnsi"/>
        </w:rPr>
        <w:t>recursos</w:t>
      </w:r>
      <w:r>
        <w:rPr>
          <w:rFonts w:asciiTheme="minorHAnsi" w:hAnsiTheme="minorHAnsi"/>
        </w:rPr>
        <w:t xml:space="preserve"> transferidos </w:t>
      </w:r>
      <w:r w:rsidR="000971AB">
        <w:rPr>
          <w:rFonts w:asciiTheme="minorHAnsi" w:hAnsiTheme="minorHAnsi"/>
        </w:rPr>
        <w:t>a través</w:t>
      </w:r>
      <w:r>
        <w:rPr>
          <w:rFonts w:asciiTheme="minorHAnsi" w:hAnsiTheme="minorHAnsi"/>
        </w:rPr>
        <w:t xml:space="preserve"> </w:t>
      </w:r>
      <w:r w:rsidR="000971AB">
        <w:rPr>
          <w:rFonts w:asciiTheme="minorHAnsi" w:hAnsiTheme="minorHAnsi"/>
        </w:rPr>
        <w:t>d</w:t>
      </w:r>
      <w:r>
        <w:rPr>
          <w:rFonts w:asciiTheme="minorHAnsi" w:hAnsiTheme="minorHAnsi"/>
        </w:rPr>
        <w:t xml:space="preserve">el Fondo Nacional de Incentivo Docente, </w:t>
      </w:r>
      <w:r w:rsidR="000971AB">
        <w:rPr>
          <w:rFonts w:asciiTheme="minorHAnsi" w:hAnsiTheme="minorHAnsi"/>
        </w:rPr>
        <w:t>así como por efecto de</w:t>
      </w:r>
      <w:r>
        <w:rPr>
          <w:rFonts w:asciiTheme="minorHAnsi" w:hAnsiTheme="minorHAnsi"/>
        </w:rPr>
        <w:t xml:space="preserve"> los primeros aportes especiales para la emergencia sanitaria que se </w:t>
      </w:r>
      <w:r w:rsidR="000971AB">
        <w:rPr>
          <w:rFonts w:asciiTheme="minorHAnsi" w:hAnsiTheme="minorHAnsi"/>
        </w:rPr>
        <w:t>declar</w:t>
      </w:r>
      <w:r>
        <w:rPr>
          <w:rFonts w:asciiTheme="minorHAnsi" w:hAnsiTheme="minorHAnsi"/>
        </w:rPr>
        <w:t xml:space="preserve">ó en el mes de marzo en el marco de la </w:t>
      </w:r>
      <w:r w:rsidR="00B010F8">
        <w:rPr>
          <w:rFonts w:asciiTheme="minorHAnsi" w:hAnsiTheme="minorHAnsi"/>
        </w:rPr>
        <w:t>propaga</w:t>
      </w:r>
      <w:r>
        <w:rPr>
          <w:rFonts w:asciiTheme="minorHAnsi" w:hAnsiTheme="minorHAnsi"/>
        </w:rPr>
        <w:t>ción en nuestro país del virus del COVID-19.</w:t>
      </w:r>
    </w:p>
    <w:p w:rsidR="00E40A94" w:rsidRDefault="00E40A94" w:rsidP="00E40A94">
      <w:pPr>
        <w:suppressAutoHyphens/>
        <w:jc w:val="both"/>
        <w:rPr>
          <w:rFonts w:asciiTheme="minorHAnsi" w:hAnsiTheme="minorHAnsi"/>
        </w:rPr>
      </w:pPr>
    </w:p>
    <w:p w:rsidR="00E40A94" w:rsidRDefault="00E40A94" w:rsidP="00E40A94">
      <w:pPr>
        <w:suppressAutoHyphens/>
        <w:jc w:val="both"/>
        <w:rPr>
          <w:rFonts w:asciiTheme="minorHAnsi" w:hAnsiTheme="minorHAnsi"/>
        </w:rPr>
      </w:pPr>
      <w:r>
        <w:rPr>
          <w:rFonts w:asciiTheme="minorHAnsi" w:hAnsiTheme="minorHAnsi"/>
        </w:rPr>
        <w:t xml:space="preserve">Por su parte los ingresos por Transferencias de Capital, realizadas principalmente por el Gobierno Nacional, se reducen respecto del primer trimestre de 2019 en </w:t>
      </w:r>
      <w:r w:rsidR="000971AB">
        <w:rPr>
          <w:rFonts w:asciiTheme="minorHAnsi" w:hAnsiTheme="minorHAnsi"/>
        </w:rPr>
        <w:t>13,8</w:t>
      </w:r>
      <w:r w:rsidR="00970FFD">
        <w:rPr>
          <w:rFonts w:asciiTheme="minorHAnsi" w:hAnsiTheme="minorHAnsi"/>
        </w:rPr>
        <w:t>%</w:t>
      </w:r>
      <w:r>
        <w:rPr>
          <w:rFonts w:asciiTheme="minorHAnsi" w:hAnsiTheme="minorHAnsi"/>
        </w:rPr>
        <w:t>. En el primer trimestre de 2020 las transferencias de capital constan básicamente de Aportes del Tesoro.</w:t>
      </w:r>
    </w:p>
    <w:p w:rsidR="00480BFC" w:rsidRPr="003C1E4C" w:rsidRDefault="00480BFC" w:rsidP="00480BFC">
      <w:pPr>
        <w:suppressAutoHyphens/>
        <w:jc w:val="both"/>
        <w:rPr>
          <w:rFonts w:asciiTheme="minorHAnsi" w:hAnsiTheme="minorHAnsi"/>
          <w:highlight w:val="yellow"/>
        </w:rPr>
      </w:pPr>
    </w:p>
    <w:p w:rsidR="00836BE2" w:rsidRDefault="00E40A94" w:rsidP="00E40A94">
      <w:pPr>
        <w:suppressAutoHyphens/>
        <w:jc w:val="both"/>
        <w:rPr>
          <w:rFonts w:asciiTheme="minorHAnsi" w:hAnsiTheme="minorHAnsi"/>
        </w:rPr>
      </w:pPr>
      <w:r>
        <w:rPr>
          <w:rFonts w:asciiTheme="minorHAnsi" w:hAnsiTheme="minorHAnsi"/>
        </w:rPr>
        <w:t>En lo que respecta a los ingresos por Rentas de la Propiedad se observa una disminución interanual de 4</w:t>
      </w:r>
      <w:r w:rsidR="000971AB">
        <w:rPr>
          <w:rFonts w:asciiTheme="minorHAnsi" w:hAnsiTheme="minorHAnsi"/>
        </w:rPr>
        <w:t>4</w:t>
      </w:r>
      <w:r>
        <w:rPr>
          <w:rFonts w:asciiTheme="minorHAnsi" w:hAnsiTheme="minorHAnsi"/>
        </w:rPr>
        <w:t>,8</w:t>
      </w:r>
      <w:r w:rsidR="00970FFD">
        <w:rPr>
          <w:rFonts w:asciiTheme="minorHAnsi" w:hAnsiTheme="minorHAnsi"/>
        </w:rPr>
        <w:t>%</w:t>
      </w:r>
      <w:r>
        <w:rPr>
          <w:rFonts w:asciiTheme="minorHAnsi" w:hAnsiTheme="minorHAnsi"/>
        </w:rPr>
        <w:t xml:space="preserve">, en tanto que las Ventas de Bienes y Servicios aumentan </w:t>
      </w:r>
      <w:r w:rsidR="000971AB">
        <w:rPr>
          <w:rFonts w:asciiTheme="minorHAnsi" w:hAnsiTheme="minorHAnsi"/>
        </w:rPr>
        <w:t>25,4</w:t>
      </w:r>
      <w:r w:rsidR="00970FFD">
        <w:rPr>
          <w:rFonts w:asciiTheme="minorHAnsi" w:hAnsiTheme="minorHAnsi"/>
        </w:rPr>
        <w:t>%</w:t>
      </w:r>
      <w:r>
        <w:rPr>
          <w:rFonts w:asciiTheme="minorHAnsi" w:hAnsiTheme="minorHAnsi"/>
        </w:rPr>
        <w:t>.</w:t>
      </w:r>
    </w:p>
    <w:p w:rsidR="00836BE2" w:rsidRDefault="00836BE2" w:rsidP="00E40A94">
      <w:pPr>
        <w:suppressAutoHyphens/>
        <w:jc w:val="both"/>
        <w:rPr>
          <w:rFonts w:asciiTheme="minorHAnsi" w:hAnsiTheme="minorHAnsi"/>
        </w:rPr>
      </w:pPr>
    </w:p>
    <w:p w:rsidR="00E40A94" w:rsidRDefault="00E40A94" w:rsidP="00E40A94">
      <w:pPr>
        <w:suppressAutoHyphens/>
        <w:jc w:val="both"/>
        <w:rPr>
          <w:rFonts w:asciiTheme="minorHAnsi" w:hAnsiTheme="minorHAnsi"/>
        </w:rPr>
      </w:pPr>
      <w:r>
        <w:rPr>
          <w:rFonts w:asciiTheme="minorHAnsi" w:hAnsiTheme="minorHAnsi"/>
        </w:rPr>
        <w:t>Los Recursos Propios de Capital presentan una fuerte caída</w:t>
      </w:r>
      <w:r w:rsidR="00964B12">
        <w:rPr>
          <w:rFonts w:asciiTheme="minorHAnsi" w:hAnsiTheme="minorHAnsi"/>
        </w:rPr>
        <w:t xml:space="preserve"> (94,8</w:t>
      </w:r>
      <w:r w:rsidR="00970FFD">
        <w:rPr>
          <w:rFonts w:asciiTheme="minorHAnsi" w:hAnsiTheme="minorHAnsi"/>
        </w:rPr>
        <w:t>%</w:t>
      </w:r>
      <w:r w:rsidR="00964B12">
        <w:rPr>
          <w:rFonts w:asciiTheme="minorHAnsi" w:hAnsiTheme="minorHAnsi"/>
        </w:rPr>
        <w:t>), regresando</w:t>
      </w:r>
      <w:r>
        <w:rPr>
          <w:rFonts w:asciiTheme="minorHAnsi" w:hAnsiTheme="minorHAnsi"/>
        </w:rPr>
        <w:t xml:space="preserve"> a valores normales, en rigor, para esta partida, ya que en 2019 se </w:t>
      </w:r>
      <w:r w:rsidR="00964B12">
        <w:rPr>
          <w:rFonts w:asciiTheme="minorHAnsi" w:hAnsiTheme="minorHAnsi"/>
        </w:rPr>
        <w:t>había visto</w:t>
      </w:r>
      <w:r>
        <w:rPr>
          <w:rFonts w:asciiTheme="minorHAnsi" w:hAnsiTheme="minorHAnsi"/>
        </w:rPr>
        <w:t xml:space="preserve"> afectada </w:t>
      </w:r>
      <w:r w:rsidR="00964B12">
        <w:rPr>
          <w:rFonts w:asciiTheme="minorHAnsi" w:hAnsiTheme="minorHAnsi"/>
        </w:rPr>
        <w:t xml:space="preserve">positivamente </w:t>
      </w:r>
      <w:r>
        <w:rPr>
          <w:rFonts w:asciiTheme="minorHAnsi" w:hAnsiTheme="minorHAnsi"/>
        </w:rPr>
        <w:t>por el registro de operaciones de venta de terrenos</w:t>
      </w:r>
      <w:r>
        <w:rPr>
          <w:rStyle w:val="Refdenotaalpie"/>
          <w:rFonts w:asciiTheme="minorHAnsi" w:hAnsiTheme="minorHAnsi"/>
        </w:rPr>
        <w:footnoteReference w:id="3"/>
      </w:r>
      <w:r>
        <w:rPr>
          <w:rFonts w:asciiTheme="minorHAnsi" w:hAnsiTheme="minorHAnsi"/>
        </w:rPr>
        <w:t xml:space="preserve"> por valores significativos</w:t>
      </w:r>
      <w:r w:rsidR="00836BE2">
        <w:rPr>
          <w:rFonts w:asciiTheme="minorHAnsi" w:hAnsiTheme="minorHAnsi"/>
        </w:rPr>
        <w:t>. La Disminución de la Inversión Financiera cae 11,7</w:t>
      </w:r>
      <w:r w:rsidR="00970FFD">
        <w:rPr>
          <w:rFonts w:asciiTheme="minorHAnsi" w:hAnsiTheme="minorHAnsi"/>
        </w:rPr>
        <w:t>%</w:t>
      </w:r>
      <w:r>
        <w:rPr>
          <w:rFonts w:asciiTheme="minorHAnsi" w:hAnsiTheme="minorHAnsi"/>
        </w:rPr>
        <w:t>.</w:t>
      </w:r>
    </w:p>
    <w:p w:rsidR="00480BFC" w:rsidRPr="003C1E4C" w:rsidRDefault="00480BFC" w:rsidP="00480BFC">
      <w:pPr>
        <w:suppressAutoHyphens/>
        <w:jc w:val="both"/>
        <w:rPr>
          <w:rFonts w:asciiTheme="minorHAnsi" w:hAnsiTheme="minorHAnsi"/>
          <w:highlight w:val="yellow"/>
        </w:rPr>
      </w:pPr>
    </w:p>
    <w:p w:rsidR="00EC0D93" w:rsidRDefault="005F5FD2" w:rsidP="00DD63FF">
      <w:pPr>
        <w:suppressAutoHyphens/>
        <w:jc w:val="both"/>
        <w:rPr>
          <w:rFonts w:asciiTheme="minorHAnsi" w:hAnsiTheme="minorHAnsi" w:cs="Arial"/>
        </w:rPr>
      </w:pPr>
      <w:r w:rsidRPr="002C2916">
        <w:rPr>
          <w:rFonts w:asciiTheme="minorHAnsi" w:hAnsiTheme="minorHAnsi" w:cs="Arial"/>
        </w:rPr>
        <w:t>E</w:t>
      </w:r>
      <w:r w:rsidR="00DD63FF" w:rsidRPr="002C2916">
        <w:rPr>
          <w:rFonts w:asciiTheme="minorHAnsi" w:hAnsiTheme="minorHAnsi" w:cs="Arial"/>
        </w:rPr>
        <w:t xml:space="preserve">l Gráfico 1 </w:t>
      </w:r>
      <w:r w:rsidRPr="002C2916">
        <w:rPr>
          <w:rFonts w:asciiTheme="minorHAnsi" w:hAnsiTheme="minorHAnsi" w:cs="Arial"/>
        </w:rPr>
        <w:t>muestra</w:t>
      </w:r>
      <w:r w:rsidR="00DD63FF" w:rsidRPr="002C2916">
        <w:rPr>
          <w:rFonts w:asciiTheme="minorHAnsi" w:hAnsiTheme="minorHAnsi" w:cs="Arial"/>
        </w:rPr>
        <w:t xml:space="preserve"> la participación de los principales recursos en el total de ingresos para el consolidado de 24 jurisdicciones al primer trimestre de 20</w:t>
      </w:r>
      <w:r w:rsidR="00003262" w:rsidRPr="002C2916">
        <w:rPr>
          <w:rFonts w:asciiTheme="minorHAnsi" w:hAnsiTheme="minorHAnsi" w:cs="Arial"/>
        </w:rPr>
        <w:t>20</w:t>
      </w:r>
      <w:r w:rsidR="00964B12">
        <w:rPr>
          <w:rFonts w:asciiTheme="minorHAnsi" w:hAnsiTheme="minorHAnsi" w:cs="Arial"/>
        </w:rPr>
        <w:t>.</w:t>
      </w:r>
    </w:p>
    <w:p w:rsidR="003744A7" w:rsidRPr="002C2916" w:rsidRDefault="003744A7" w:rsidP="00DD63FF">
      <w:pPr>
        <w:suppressAutoHyphens/>
        <w:jc w:val="both"/>
        <w:rPr>
          <w:rFonts w:asciiTheme="minorHAnsi" w:hAnsiTheme="minorHAnsi" w:cs="Arial"/>
        </w:rPr>
      </w:pPr>
    </w:p>
    <w:p w:rsidR="003744A7" w:rsidRPr="002C2916" w:rsidRDefault="003744A7" w:rsidP="003744A7">
      <w:pPr>
        <w:suppressAutoHyphens/>
        <w:jc w:val="both"/>
        <w:rPr>
          <w:rFonts w:asciiTheme="minorHAnsi" w:hAnsiTheme="minorHAnsi" w:cs="Arial"/>
        </w:rPr>
      </w:pPr>
      <w:r w:rsidRPr="002C2916">
        <w:rPr>
          <w:rFonts w:asciiTheme="minorHAnsi" w:hAnsiTheme="minorHAnsi" w:cs="Arial"/>
        </w:rPr>
        <w:t>Se destaca la preponderancia de los Ingresos Tributarios (45,</w:t>
      </w:r>
      <w:r>
        <w:rPr>
          <w:rFonts w:asciiTheme="minorHAnsi" w:hAnsiTheme="minorHAnsi" w:cs="Arial"/>
        </w:rPr>
        <w:t>6</w:t>
      </w:r>
      <w:r w:rsidR="00970FFD">
        <w:rPr>
          <w:rFonts w:asciiTheme="minorHAnsi" w:hAnsiTheme="minorHAnsi" w:cs="Arial"/>
        </w:rPr>
        <w:t>%</w:t>
      </w:r>
      <w:r w:rsidRPr="002C2916">
        <w:rPr>
          <w:rFonts w:asciiTheme="minorHAnsi" w:hAnsiTheme="minorHAnsi" w:cs="Arial"/>
        </w:rPr>
        <w:t xml:space="preserve"> los de origen nacional y 32,</w:t>
      </w:r>
      <w:r>
        <w:rPr>
          <w:rFonts w:asciiTheme="minorHAnsi" w:hAnsiTheme="minorHAnsi" w:cs="Arial"/>
        </w:rPr>
        <w:t>4</w:t>
      </w:r>
      <w:r w:rsidR="00970FFD">
        <w:rPr>
          <w:rFonts w:asciiTheme="minorHAnsi" w:hAnsiTheme="minorHAnsi" w:cs="Arial"/>
        </w:rPr>
        <w:t>%</w:t>
      </w:r>
      <w:r w:rsidRPr="002C2916">
        <w:rPr>
          <w:rFonts w:asciiTheme="minorHAnsi" w:hAnsiTheme="minorHAnsi" w:cs="Arial"/>
        </w:rPr>
        <w:t xml:space="preserve"> los de origen provincial) seguidos en importancia por las Contribuciones a la Seguridad Social (10,5</w:t>
      </w:r>
      <w:r w:rsidR="00970FFD">
        <w:rPr>
          <w:rFonts w:asciiTheme="minorHAnsi" w:hAnsiTheme="minorHAnsi" w:cs="Arial"/>
        </w:rPr>
        <w:t>%</w:t>
      </w:r>
      <w:r w:rsidRPr="002C2916">
        <w:rPr>
          <w:rFonts w:asciiTheme="minorHAnsi" w:hAnsiTheme="minorHAnsi" w:cs="Arial"/>
        </w:rPr>
        <w:t>), los Ingresos No Tributarios (5,2</w:t>
      </w:r>
      <w:r w:rsidR="00970FFD">
        <w:rPr>
          <w:rFonts w:asciiTheme="minorHAnsi" w:hAnsiTheme="minorHAnsi" w:cs="Arial"/>
        </w:rPr>
        <w:t>%</w:t>
      </w:r>
      <w:r w:rsidRPr="002C2916">
        <w:rPr>
          <w:rFonts w:asciiTheme="minorHAnsi" w:hAnsiTheme="minorHAnsi" w:cs="Arial"/>
        </w:rPr>
        <w:t>), las Transferencias Corrientes (</w:t>
      </w:r>
      <w:r>
        <w:rPr>
          <w:rFonts w:asciiTheme="minorHAnsi" w:hAnsiTheme="minorHAnsi" w:cs="Arial"/>
        </w:rPr>
        <w:t>4,2</w:t>
      </w:r>
      <w:r w:rsidR="00970FFD">
        <w:rPr>
          <w:rFonts w:asciiTheme="minorHAnsi" w:hAnsiTheme="minorHAnsi" w:cs="Arial"/>
        </w:rPr>
        <w:t>%</w:t>
      </w:r>
      <w:r w:rsidRPr="002C2916">
        <w:rPr>
          <w:rFonts w:asciiTheme="minorHAnsi" w:hAnsiTheme="minorHAnsi" w:cs="Arial"/>
        </w:rPr>
        <w:t>), y las Transferencias de Capital (0,7</w:t>
      </w:r>
      <w:r w:rsidR="00970FFD">
        <w:rPr>
          <w:rFonts w:asciiTheme="minorHAnsi" w:hAnsiTheme="minorHAnsi" w:cs="Arial"/>
        </w:rPr>
        <w:t>%</w:t>
      </w:r>
      <w:r w:rsidRPr="002C2916">
        <w:rPr>
          <w:rFonts w:asciiTheme="minorHAnsi" w:hAnsiTheme="minorHAnsi" w:cs="Arial"/>
        </w:rPr>
        <w:t>).</w:t>
      </w:r>
      <w:r>
        <w:rPr>
          <w:rFonts w:asciiTheme="minorHAnsi" w:hAnsiTheme="minorHAnsi" w:cs="Arial"/>
        </w:rPr>
        <w:t xml:space="preserve"> </w:t>
      </w:r>
      <w:r w:rsidRPr="002C2916">
        <w:rPr>
          <w:rFonts w:asciiTheme="minorHAnsi" w:hAnsiTheme="minorHAnsi" w:cs="Arial"/>
        </w:rPr>
        <w:t>Corresponde el resto de los conceptos (1,4</w:t>
      </w:r>
      <w:r w:rsidR="00970FFD">
        <w:rPr>
          <w:rFonts w:asciiTheme="minorHAnsi" w:hAnsiTheme="minorHAnsi" w:cs="Arial"/>
        </w:rPr>
        <w:t>%</w:t>
      </w:r>
      <w:r w:rsidRPr="002C2916">
        <w:rPr>
          <w:rFonts w:asciiTheme="minorHAnsi" w:hAnsiTheme="minorHAnsi" w:cs="Arial"/>
        </w:rPr>
        <w:t xml:space="preserve">) a Rentas de la Propiedad, Venta de Bienes y Servicios de la Administración Pública, Recursos </w:t>
      </w:r>
      <w:r>
        <w:rPr>
          <w:rFonts w:asciiTheme="minorHAnsi" w:hAnsiTheme="minorHAnsi" w:cs="Arial"/>
        </w:rPr>
        <w:t>P</w:t>
      </w:r>
      <w:r w:rsidRPr="002C2916">
        <w:rPr>
          <w:rFonts w:asciiTheme="minorHAnsi" w:hAnsiTheme="minorHAnsi" w:cs="Arial"/>
        </w:rPr>
        <w:t xml:space="preserve">ropios de Capital y Disminución de la Inversión Financiera, </w:t>
      </w:r>
      <w:r>
        <w:rPr>
          <w:rFonts w:asciiTheme="minorHAnsi" w:hAnsiTheme="minorHAnsi" w:cs="Arial"/>
        </w:rPr>
        <w:t>según se detalla</w:t>
      </w:r>
      <w:r w:rsidRPr="002C2916">
        <w:rPr>
          <w:rFonts w:asciiTheme="minorHAnsi" w:hAnsiTheme="minorHAnsi" w:cs="Arial"/>
        </w:rPr>
        <w:t xml:space="preserve"> al pie del gráfico.</w:t>
      </w:r>
    </w:p>
    <w:p w:rsidR="003744A7" w:rsidRPr="002C2916" w:rsidRDefault="003744A7" w:rsidP="003744A7">
      <w:pPr>
        <w:suppressAutoHyphens/>
        <w:jc w:val="both"/>
        <w:rPr>
          <w:rFonts w:asciiTheme="minorHAnsi" w:hAnsiTheme="minorHAnsi" w:cs="Arial"/>
        </w:rPr>
      </w:pPr>
    </w:p>
    <w:p w:rsidR="003744A7" w:rsidRDefault="003744A7" w:rsidP="003744A7">
      <w:pPr>
        <w:suppressAutoHyphens/>
        <w:jc w:val="both"/>
        <w:rPr>
          <w:rFonts w:asciiTheme="minorHAnsi" w:hAnsiTheme="minorHAnsi" w:cs="Arial"/>
        </w:rPr>
      </w:pPr>
      <w:r w:rsidRPr="002C2916">
        <w:rPr>
          <w:rFonts w:asciiTheme="minorHAnsi" w:hAnsiTheme="minorHAnsi" w:cs="Arial"/>
        </w:rPr>
        <w:t xml:space="preserve">El indicador de </w:t>
      </w:r>
      <w:r w:rsidRPr="002C2916">
        <w:rPr>
          <w:rFonts w:asciiTheme="minorHAnsi" w:hAnsiTheme="minorHAnsi" w:cs="Arial"/>
          <w:i/>
        </w:rPr>
        <w:t>autofinanciamiento</w:t>
      </w:r>
      <w:r w:rsidRPr="002C2916">
        <w:rPr>
          <w:rFonts w:asciiTheme="minorHAnsi" w:hAnsiTheme="minorHAnsi" w:cs="Arial"/>
        </w:rPr>
        <w:t xml:space="preserve"> provincial, definido a partir de la relación entre los ingresos provinciales</w:t>
      </w:r>
      <w:r w:rsidRPr="002C2916">
        <w:rPr>
          <w:rStyle w:val="Refdenotaalpie"/>
          <w:rFonts w:asciiTheme="minorHAnsi" w:hAnsiTheme="minorHAnsi" w:cs="Arial"/>
        </w:rPr>
        <w:footnoteReference w:id="4"/>
      </w:r>
      <w:r w:rsidRPr="002C2916">
        <w:rPr>
          <w:rFonts w:asciiTheme="minorHAnsi" w:hAnsiTheme="minorHAnsi" w:cs="Arial"/>
        </w:rPr>
        <w:t xml:space="preserve"> y los ingresos totales, alcanzó 49,</w:t>
      </w:r>
      <w:r>
        <w:rPr>
          <w:rFonts w:asciiTheme="minorHAnsi" w:hAnsiTheme="minorHAnsi" w:cs="Arial"/>
        </w:rPr>
        <w:t>4</w:t>
      </w:r>
      <w:r w:rsidR="00970FFD">
        <w:rPr>
          <w:rFonts w:asciiTheme="minorHAnsi" w:hAnsiTheme="minorHAnsi" w:cs="Arial"/>
        </w:rPr>
        <w:t>%</w:t>
      </w:r>
      <w:r w:rsidRPr="002C2916">
        <w:rPr>
          <w:rFonts w:asciiTheme="minorHAnsi" w:hAnsiTheme="minorHAnsi" w:cs="Arial"/>
        </w:rPr>
        <w:t xml:space="preserve"> al primer trimestre del 2020, representando una ligera caída respecto del valor alcanzado en igual período de 2019</w:t>
      </w:r>
      <w:r>
        <w:rPr>
          <w:rFonts w:asciiTheme="minorHAnsi" w:hAnsiTheme="minorHAnsi" w:cs="Arial"/>
        </w:rPr>
        <w:t xml:space="preserve"> (50,1%)</w:t>
      </w:r>
      <w:r w:rsidRPr="002C2916">
        <w:rPr>
          <w:rFonts w:asciiTheme="minorHAnsi" w:hAnsiTheme="minorHAnsi" w:cs="Arial"/>
        </w:rPr>
        <w:t>.</w:t>
      </w:r>
    </w:p>
    <w:p w:rsidR="003744A7" w:rsidRDefault="003744A7" w:rsidP="003744A7">
      <w:pPr>
        <w:suppressAutoHyphens/>
        <w:jc w:val="both"/>
        <w:rPr>
          <w:rFonts w:asciiTheme="minorHAnsi" w:hAnsiTheme="minorHAnsi" w:cs="Arial"/>
        </w:rPr>
      </w:pPr>
    </w:p>
    <w:p w:rsidR="003744A7" w:rsidRDefault="003744A7" w:rsidP="003744A7">
      <w:pPr>
        <w:suppressAutoHyphens/>
        <w:jc w:val="both"/>
        <w:rPr>
          <w:rFonts w:asciiTheme="minorHAnsi" w:hAnsiTheme="minorHAnsi" w:cs="Arial"/>
        </w:rPr>
      </w:pPr>
    </w:p>
    <w:p w:rsidR="003744A7" w:rsidRDefault="003744A7">
      <w:pPr>
        <w:rPr>
          <w:rFonts w:asciiTheme="minorHAnsi" w:hAnsiTheme="minorHAnsi" w:cs="Arial"/>
        </w:rPr>
      </w:pPr>
      <w:r>
        <w:rPr>
          <w:rFonts w:asciiTheme="minorHAnsi" w:hAnsiTheme="minorHAnsi" w:cs="Arial"/>
        </w:rPr>
        <w:br w:type="page"/>
      </w:r>
    </w:p>
    <w:p w:rsidR="00480BFC" w:rsidRDefault="00480BFC" w:rsidP="00480BFC">
      <w:pPr>
        <w:suppressAutoHyphens/>
        <w:jc w:val="center"/>
        <w:rPr>
          <w:rFonts w:asciiTheme="minorHAnsi" w:hAnsiTheme="minorHAnsi" w:cs="Arial"/>
        </w:rPr>
      </w:pPr>
      <w:r>
        <w:rPr>
          <w:rFonts w:asciiTheme="minorHAnsi" w:hAnsiTheme="minorHAnsi" w:cs="Arial"/>
          <w:b/>
        </w:rPr>
        <w:t>Gráfico 1.</w:t>
      </w:r>
      <w:r>
        <w:rPr>
          <w:rFonts w:asciiTheme="minorHAnsi" w:hAnsiTheme="minorHAnsi" w:cs="Arial"/>
        </w:rPr>
        <w:t xml:space="preserve"> Estructura porcentual de los ingresos</w:t>
      </w:r>
    </w:p>
    <w:p w:rsidR="00480BFC" w:rsidRDefault="00480BFC" w:rsidP="00480BFC">
      <w:pPr>
        <w:suppressAutoHyphens/>
        <w:spacing w:after="120"/>
        <w:jc w:val="center"/>
        <w:rPr>
          <w:rFonts w:asciiTheme="minorHAnsi" w:hAnsiTheme="minorHAnsi" w:cs="Arial"/>
        </w:rPr>
      </w:pPr>
      <w:r>
        <w:rPr>
          <w:rFonts w:asciiTheme="minorHAnsi" w:hAnsiTheme="minorHAnsi" w:cs="Arial"/>
        </w:rPr>
        <w:t>I Trimestre 20</w:t>
      </w:r>
      <w:r w:rsidR="0035460E">
        <w:rPr>
          <w:rFonts w:asciiTheme="minorHAnsi" w:hAnsiTheme="minorHAnsi" w:cs="Arial"/>
        </w:rPr>
        <w:t>20</w:t>
      </w:r>
    </w:p>
    <w:p w:rsidR="00480BFC" w:rsidRDefault="000971AB" w:rsidP="00480BFC">
      <w:pPr>
        <w:suppressAutoHyphens/>
        <w:jc w:val="center"/>
        <w:rPr>
          <w:rFonts w:asciiTheme="minorHAnsi" w:hAnsiTheme="minorHAnsi"/>
          <w:sz w:val="20"/>
          <w:szCs w:val="20"/>
        </w:rPr>
      </w:pPr>
      <w:r>
        <w:rPr>
          <w:rFonts w:asciiTheme="minorHAnsi" w:hAnsiTheme="minorHAnsi"/>
          <w:noProof/>
          <w:sz w:val="20"/>
          <w:szCs w:val="20"/>
          <w:lang w:val="es-AR" w:eastAsia="es-AR"/>
        </w:rPr>
        <w:drawing>
          <wp:inline distT="0" distB="0" distL="0" distR="0" wp14:anchorId="0C0F5ADC">
            <wp:extent cx="5356800" cy="3294000"/>
            <wp:effectExtent l="0" t="0" r="0" b="190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6800" cy="3294000"/>
                    </a:xfrm>
                    <a:prstGeom prst="rect">
                      <a:avLst/>
                    </a:prstGeom>
                    <a:noFill/>
                  </pic:spPr>
                </pic:pic>
              </a:graphicData>
            </a:graphic>
          </wp:inline>
        </w:drawing>
      </w:r>
    </w:p>
    <w:p w:rsidR="00964B12" w:rsidRDefault="00964B12" w:rsidP="00480BFC">
      <w:pPr>
        <w:suppressAutoHyphens/>
        <w:jc w:val="center"/>
        <w:rPr>
          <w:rFonts w:asciiTheme="minorHAnsi" w:hAnsiTheme="minorHAnsi"/>
          <w:sz w:val="20"/>
          <w:szCs w:val="20"/>
        </w:rPr>
      </w:pPr>
    </w:p>
    <w:p w:rsidR="00AC31B4" w:rsidRPr="00143254" w:rsidRDefault="00AC31B4" w:rsidP="00AC31B4">
      <w:pPr>
        <w:suppressAutoHyphens/>
        <w:ind w:left="142"/>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Otros ingresos provinciales, comprende Rentas de la Propiedad, Venta de Bienes y Servicios de la Administración Pública</w:t>
      </w:r>
      <w:r w:rsidR="005354B5">
        <w:rPr>
          <w:rFonts w:ascii="Calibri" w:hAnsi="Calibri"/>
          <w:sz w:val="20"/>
          <w:szCs w:val="20"/>
        </w:rPr>
        <w:t>, Recursos propios</w:t>
      </w:r>
      <w:r w:rsidRPr="00143254">
        <w:rPr>
          <w:rFonts w:ascii="Calibri" w:hAnsi="Calibri"/>
          <w:sz w:val="20"/>
          <w:szCs w:val="20"/>
        </w:rPr>
        <w:t xml:space="preserve"> de Capital</w:t>
      </w:r>
      <w:r w:rsidR="005354B5">
        <w:rPr>
          <w:rFonts w:ascii="Calibri" w:hAnsi="Calibri"/>
          <w:sz w:val="20"/>
          <w:szCs w:val="20"/>
        </w:rPr>
        <w:t xml:space="preserve"> y Disminución de la Inversión Financiera</w:t>
      </w:r>
      <w:r w:rsidRPr="00143254">
        <w:rPr>
          <w:rFonts w:ascii="Calibri" w:hAnsi="Calibri"/>
          <w:sz w:val="20"/>
          <w:szCs w:val="20"/>
        </w:rPr>
        <w:t>.</w:t>
      </w:r>
    </w:p>
    <w:p w:rsidR="00AC31B4" w:rsidRPr="00143254" w:rsidRDefault="00AC31B4" w:rsidP="00AC31B4">
      <w:pPr>
        <w:suppressAutoHyphens/>
        <w:ind w:left="142"/>
        <w:jc w:val="both"/>
        <w:rPr>
          <w:rFonts w:ascii="Calibri" w:hAnsi="Calibri"/>
          <w:sz w:val="20"/>
          <w:szCs w:val="20"/>
        </w:rPr>
      </w:pPr>
      <w:r w:rsidRPr="00143254">
        <w:rPr>
          <w:rFonts w:ascii="Calibri" w:hAnsi="Calibri"/>
          <w:b/>
          <w:sz w:val="20"/>
          <w:szCs w:val="20"/>
        </w:rPr>
        <w:t>Fuente</w:t>
      </w:r>
      <w:r w:rsidRPr="00143254">
        <w:rPr>
          <w:rFonts w:ascii="Calibri" w:hAnsi="Calibri"/>
          <w:sz w:val="20"/>
          <w:szCs w:val="20"/>
        </w:rPr>
        <w:t>: Secretaria de Hacienda en base a información provista por las jurisdicciones</w:t>
      </w:r>
    </w:p>
    <w:p w:rsidR="00C12C75" w:rsidRPr="003C1E4C" w:rsidRDefault="00C12C75" w:rsidP="00C12C75">
      <w:pPr>
        <w:suppressAutoHyphens/>
        <w:jc w:val="both"/>
        <w:rPr>
          <w:rFonts w:asciiTheme="minorHAnsi" w:hAnsiTheme="minorHAnsi" w:cs="Arial"/>
          <w:highlight w:val="yellow"/>
        </w:rPr>
      </w:pPr>
    </w:p>
    <w:p w:rsidR="00472960" w:rsidRDefault="00472960" w:rsidP="00B15884">
      <w:pPr>
        <w:suppressAutoHyphens/>
        <w:jc w:val="both"/>
        <w:rPr>
          <w:rFonts w:asciiTheme="minorHAnsi" w:hAnsiTheme="minorHAnsi" w:cs="Arial"/>
        </w:rPr>
      </w:pPr>
    </w:p>
    <w:p w:rsidR="003064F7" w:rsidRDefault="00B61E6C" w:rsidP="006D7D02">
      <w:pPr>
        <w:pStyle w:val="Ttulo1"/>
        <w:numPr>
          <w:ilvl w:val="0"/>
          <w:numId w:val="0"/>
        </w:numPr>
        <w:pBdr>
          <w:bottom w:val="single" w:sz="4" w:space="1" w:color="auto"/>
        </w:pBdr>
      </w:pPr>
      <w:bookmarkStart w:id="14" w:name="_Toc456279048"/>
      <w:bookmarkStart w:id="15" w:name="_Toc500246798"/>
      <w:bookmarkStart w:id="16" w:name="_Toc532574489"/>
      <w:bookmarkStart w:id="17" w:name="_Toc3367372"/>
      <w:r>
        <w:t>4</w:t>
      </w:r>
      <w:r w:rsidR="006A5035">
        <w:t>.</w:t>
      </w:r>
      <w:r w:rsidR="006A5035" w:rsidRPr="00D03BFA">
        <w:t xml:space="preserve"> G</w:t>
      </w:r>
      <w:r w:rsidR="006A5035">
        <w:t>ASTOS</w:t>
      </w:r>
      <w:bookmarkEnd w:id="14"/>
      <w:bookmarkEnd w:id="15"/>
      <w:bookmarkEnd w:id="16"/>
      <w:bookmarkEnd w:id="17"/>
    </w:p>
    <w:p w:rsidR="00EC0D93" w:rsidRPr="00EC0D93" w:rsidRDefault="00EC0D93" w:rsidP="00EC0D93"/>
    <w:p w:rsidR="003064F7" w:rsidRPr="0025674A" w:rsidRDefault="00B61E6C" w:rsidP="006F4161">
      <w:pPr>
        <w:pStyle w:val="TDC3"/>
      </w:pPr>
      <w:bookmarkStart w:id="18" w:name="_Toc456279049"/>
      <w:bookmarkStart w:id="19" w:name="_Toc500246799"/>
      <w:bookmarkStart w:id="20" w:name="_Toc532574490"/>
      <w:bookmarkStart w:id="21" w:name="_Toc532575880"/>
      <w:bookmarkStart w:id="22" w:name="_Toc532575907"/>
      <w:bookmarkStart w:id="23" w:name="_Toc532575987"/>
      <w:bookmarkStart w:id="24" w:name="_Toc532577652"/>
      <w:bookmarkStart w:id="25" w:name="_Toc532577771"/>
      <w:bookmarkStart w:id="26" w:name="_Toc532577963"/>
      <w:bookmarkStart w:id="27" w:name="_Toc3367373"/>
      <w:r>
        <w:t>4</w:t>
      </w:r>
      <w:r w:rsidR="003A39FE" w:rsidRPr="0025674A">
        <w:t>.1.</w:t>
      </w:r>
      <w:r w:rsidR="0053209D" w:rsidRPr="0025674A">
        <w:t xml:space="preserve"> </w:t>
      </w:r>
      <w:r w:rsidR="003064F7" w:rsidRPr="0025674A">
        <w:t xml:space="preserve">Análisis del Gasto </w:t>
      </w:r>
      <w:r w:rsidR="007F4131">
        <w:t>según</w:t>
      </w:r>
      <w:r w:rsidR="003064F7" w:rsidRPr="0025674A">
        <w:t xml:space="preserve"> Clasificación Económica y por Objeto</w:t>
      </w:r>
      <w:bookmarkEnd w:id="18"/>
      <w:bookmarkEnd w:id="19"/>
      <w:bookmarkEnd w:id="20"/>
      <w:bookmarkEnd w:id="21"/>
      <w:bookmarkEnd w:id="22"/>
      <w:bookmarkEnd w:id="23"/>
      <w:bookmarkEnd w:id="24"/>
      <w:bookmarkEnd w:id="25"/>
      <w:bookmarkEnd w:id="26"/>
      <w:bookmarkEnd w:id="27"/>
    </w:p>
    <w:p w:rsidR="00B85203" w:rsidRDefault="00B85203" w:rsidP="0076644C">
      <w:pPr>
        <w:suppressAutoHyphens/>
        <w:jc w:val="both"/>
        <w:rPr>
          <w:rFonts w:ascii="Calibri" w:hAnsi="Calibri"/>
        </w:rPr>
      </w:pPr>
    </w:p>
    <w:p w:rsidR="008363D8" w:rsidRPr="00DE65F9" w:rsidRDefault="00B85203" w:rsidP="0076644C">
      <w:pPr>
        <w:suppressAutoHyphens/>
        <w:jc w:val="both"/>
        <w:rPr>
          <w:rFonts w:ascii="Calibri" w:hAnsi="Calibri"/>
        </w:rPr>
      </w:pPr>
      <w:r w:rsidRPr="00DE65F9">
        <w:rPr>
          <w:rFonts w:ascii="Calibri" w:hAnsi="Calibri"/>
        </w:rPr>
        <w:t xml:space="preserve">El gasto total </w:t>
      </w:r>
      <w:r w:rsidR="001F687C" w:rsidRPr="00DE65F9">
        <w:rPr>
          <w:rFonts w:ascii="Calibri" w:hAnsi="Calibri"/>
        </w:rPr>
        <w:t xml:space="preserve">acumulado </w:t>
      </w:r>
      <w:r w:rsidRPr="00DE65F9">
        <w:rPr>
          <w:rFonts w:ascii="Calibri" w:hAnsi="Calibri"/>
        </w:rPr>
        <w:t xml:space="preserve">de las 24 jurisdicciones </w:t>
      </w:r>
      <w:r w:rsidR="00F26297" w:rsidRPr="00DE65F9">
        <w:rPr>
          <w:rFonts w:ascii="Calibri" w:hAnsi="Calibri"/>
        </w:rPr>
        <w:t xml:space="preserve">al </w:t>
      </w:r>
      <w:r w:rsidR="00DC6801" w:rsidRPr="00DE65F9">
        <w:rPr>
          <w:rFonts w:ascii="Calibri" w:hAnsi="Calibri"/>
        </w:rPr>
        <w:t>primer</w:t>
      </w:r>
      <w:r w:rsidR="005C3C58" w:rsidRPr="00DE65F9">
        <w:rPr>
          <w:rFonts w:ascii="Calibri" w:hAnsi="Calibri"/>
        </w:rPr>
        <w:t xml:space="preserve"> </w:t>
      </w:r>
      <w:r w:rsidR="00F26297" w:rsidRPr="00DE65F9">
        <w:rPr>
          <w:rFonts w:ascii="Calibri" w:hAnsi="Calibri"/>
        </w:rPr>
        <w:t>tri</w:t>
      </w:r>
      <w:r w:rsidR="00C652BF" w:rsidRPr="00DE65F9">
        <w:rPr>
          <w:rFonts w:ascii="Calibri" w:hAnsi="Calibri"/>
        </w:rPr>
        <w:t>mestre de 20</w:t>
      </w:r>
      <w:r w:rsidR="00DE65F9" w:rsidRPr="00DE65F9">
        <w:rPr>
          <w:rFonts w:ascii="Calibri" w:hAnsi="Calibri"/>
        </w:rPr>
        <w:t>20</w:t>
      </w:r>
      <w:r w:rsidR="00C652BF" w:rsidRPr="00DE65F9">
        <w:rPr>
          <w:rFonts w:ascii="Calibri" w:hAnsi="Calibri"/>
        </w:rPr>
        <w:t xml:space="preserve"> </w:t>
      </w:r>
      <w:r w:rsidR="001F687C" w:rsidRPr="00DE65F9">
        <w:rPr>
          <w:rFonts w:ascii="Calibri" w:hAnsi="Calibri"/>
        </w:rPr>
        <w:t xml:space="preserve">alcanzó </w:t>
      </w:r>
      <w:r w:rsidR="00DE65F9">
        <w:rPr>
          <w:rFonts w:ascii="Calibri" w:hAnsi="Calibri"/>
        </w:rPr>
        <w:t>la suma de</w:t>
      </w:r>
      <w:r w:rsidR="00C652BF" w:rsidRPr="00DE65F9">
        <w:rPr>
          <w:rFonts w:ascii="Calibri" w:hAnsi="Calibri"/>
        </w:rPr>
        <w:t xml:space="preserve"> </w:t>
      </w:r>
      <w:r w:rsidR="00970FFD">
        <w:rPr>
          <w:rFonts w:ascii="Calibri" w:hAnsi="Calibri"/>
        </w:rPr>
        <w:t xml:space="preserve">$ </w:t>
      </w:r>
      <w:r w:rsidR="002647C9">
        <w:rPr>
          <w:rFonts w:ascii="Calibri" w:hAnsi="Calibri"/>
        </w:rPr>
        <w:t>939.249</w:t>
      </w:r>
      <w:r w:rsidR="008E757B">
        <w:rPr>
          <w:rFonts w:ascii="Calibri" w:hAnsi="Calibri"/>
        </w:rPr>
        <w:t xml:space="preserve"> </w:t>
      </w:r>
      <w:r w:rsidRPr="00DE65F9">
        <w:rPr>
          <w:rFonts w:ascii="Calibri" w:hAnsi="Calibri"/>
        </w:rPr>
        <w:t>millones</w:t>
      </w:r>
      <w:r w:rsidR="00DE65F9">
        <w:rPr>
          <w:rFonts w:ascii="Calibri" w:hAnsi="Calibri"/>
        </w:rPr>
        <w:t xml:space="preserve">, representando un crecimiento de </w:t>
      </w:r>
      <w:r w:rsidR="00566A31">
        <w:rPr>
          <w:rFonts w:ascii="Calibri" w:hAnsi="Calibri"/>
        </w:rPr>
        <w:t>36,</w:t>
      </w:r>
      <w:r w:rsidR="002647C9">
        <w:rPr>
          <w:rFonts w:ascii="Calibri" w:hAnsi="Calibri"/>
        </w:rPr>
        <w:t>3</w:t>
      </w:r>
      <w:r w:rsidR="00970FFD">
        <w:rPr>
          <w:rFonts w:ascii="Calibri" w:hAnsi="Calibri"/>
        </w:rPr>
        <w:t>%</w:t>
      </w:r>
      <w:r w:rsidR="00DE65F9">
        <w:rPr>
          <w:rFonts w:ascii="Calibri" w:hAnsi="Calibri"/>
        </w:rPr>
        <w:t xml:space="preserve"> respecto del primer trimestre de 2019</w:t>
      </w:r>
      <w:r w:rsidR="008363D8" w:rsidRPr="00DE65F9">
        <w:rPr>
          <w:rFonts w:ascii="Calibri" w:hAnsi="Calibri"/>
        </w:rPr>
        <w:t>.</w:t>
      </w:r>
    </w:p>
    <w:p w:rsidR="00424C76" w:rsidRPr="003C1E4C" w:rsidRDefault="00424C76" w:rsidP="00424C76">
      <w:pPr>
        <w:suppressAutoHyphens/>
        <w:jc w:val="both"/>
        <w:rPr>
          <w:rFonts w:ascii="Calibri" w:hAnsi="Calibri"/>
          <w:highlight w:val="yellow"/>
        </w:rPr>
      </w:pPr>
    </w:p>
    <w:p w:rsidR="00F108C8" w:rsidRPr="002C0B0C" w:rsidRDefault="005553EB" w:rsidP="00424C76">
      <w:pPr>
        <w:suppressAutoHyphens/>
        <w:jc w:val="both"/>
        <w:rPr>
          <w:rFonts w:asciiTheme="minorHAnsi" w:hAnsiTheme="minorHAnsi" w:cs="Arial"/>
        </w:rPr>
      </w:pPr>
      <w:r w:rsidRPr="002C0B0C">
        <w:rPr>
          <w:rFonts w:asciiTheme="minorHAnsi" w:hAnsiTheme="minorHAnsi" w:cs="Arial"/>
        </w:rPr>
        <w:t>L</w:t>
      </w:r>
      <w:r w:rsidR="00424C76" w:rsidRPr="002C0B0C">
        <w:rPr>
          <w:rFonts w:asciiTheme="minorHAnsi" w:hAnsiTheme="minorHAnsi" w:cs="Arial"/>
        </w:rPr>
        <w:t>a partida Personal</w:t>
      </w:r>
      <w:r w:rsidR="00B16FA3" w:rsidRPr="002C0B0C">
        <w:rPr>
          <w:rFonts w:asciiTheme="minorHAnsi" w:hAnsiTheme="minorHAnsi" w:cs="Arial"/>
        </w:rPr>
        <w:t>,</w:t>
      </w:r>
      <w:r w:rsidRPr="002C0B0C">
        <w:rPr>
          <w:rFonts w:asciiTheme="minorHAnsi" w:hAnsiTheme="minorHAnsi" w:cs="Arial"/>
        </w:rPr>
        <w:t xml:space="preserve"> el principal componente del gasto,</w:t>
      </w:r>
      <w:r w:rsidR="00424C76" w:rsidRPr="002C0B0C">
        <w:rPr>
          <w:rFonts w:asciiTheme="minorHAnsi" w:hAnsiTheme="minorHAnsi" w:cs="Arial"/>
        </w:rPr>
        <w:t xml:space="preserve"> registr</w:t>
      </w:r>
      <w:r w:rsidR="00DE65F9" w:rsidRPr="002C0B0C">
        <w:rPr>
          <w:rFonts w:asciiTheme="minorHAnsi" w:hAnsiTheme="minorHAnsi" w:cs="Arial"/>
        </w:rPr>
        <w:t>a</w:t>
      </w:r>
      <w:r w:rsidR="00424C76" w:rsidRPr="002C0B0C">
        <w:rPr>
          <w:rFonts w:asciiTheme="minorHAnsi" w:hAnsiTheme="minorHAnsi" w:cs="Arial"/>
        </w:rPr>
        <w:t xml:space="preserve"> </w:t>
      </w:r>
      <w:r w:rsidR="003744A7" w:rsidRPr="002C0B0C">
        <w:rPr>
          <w:rFonts w:asciiTheme="minorHAnsi" w:hAnsiTheme="minorHAnsi" w:cs="Arial"/>
        </w:rPr>
        <w:t>al primer trimestre de 2020</w:t>
      </w:r>
      <w:r w:rsidR="003744A7">
        <w:rPr>
          <w:rFonts w:asciiTheme="minorHAnsi" w:hAnsiTheme="minorHAnsi" w:cs="Arial"/>
        </w:rPr>
        <w:t xml:space="preserve"> </w:t>
      </w:r>
      <w:r w:rsidR="00DE65F9" w:rsidRPr="002C0B0C">
        <w:rPr>
          <w:rFonts w:asciiTheme="minorHAnsi" w:hAnsiTheme="minorHAnsi" w:cs="Arial"/>
        </w:rPr>
        <w:t xml:space="preserve">un incremento </w:t>
      </w:r>
      <w:r w:rsidR="00424C76" w:rsidRPr="002C0B0C">
        <w:rPr>
          <w:rFonts w:asciiTheme="minorHAnsi" w:hAnsiTheme="minorHAnsi" w:cs="Arial"/>
        </w:rPr>
        <w:t xml:space="preserve">de </w:t>
      </w:r>
      <w:r w:rsidR="00DE65F9" w:rsidRPr="002C0B0C">
        <w:rPr>
          <w:rFonts w:asciiTheme="minorHAnsi" w:hAnsiTheme="minorHAnsi" w:cs="Arial"/>
        </w:rPr>
        <w:t>45,4</w:t>
      </w:r>
      <w:r w:rsidR="00970FFD">
        <w:rPr>
          <w:rFonts w:asciiTheme="minorHAnsi" w:hAnsiTheme="minorHAnsi" w:cs="Arial"/>
        </w:rPr>
        <w:t>%</w:t>
      </w:r>
      <w:r w:rsidR="00424C76" w:rsidRPr="002C0B0C">
        <w:rPr>
          <w:rFonts w:asciiTheme="minorHAnsi" w:hAnsiTheme="minorHAnsi" w:cs="Arial"/>
        </w:rPr>
        <w:t xml:space="preserve"> </w:t>
      </w:r>
      <w:r w:rsidR="002C0B0C" w:rsidRPr="002C0B0C">
        <w:rPr>
          <w:rFonts w:asciiTheme="minorHAnsi" w:hAnsiTheme="minorHAnsi" w:cs="Arial"/>
        </w:rPr>
        <w:t xml:space="preserve">con </w:t>
      </w:r>
      <w:r w:rsidR="00424C76" w:rsidRPr="002C0B0C">
        <w:rPr>
          <w:rFonts w:asciiTheme="minorHAnsi" w:hAnsiTheme="minorHAnsi" w:cs="Arial"/>
        </w:rPr>
        <w:t>respecto a igual período de 201</w:t>
      </w:r>
      <w:r w:rsidR="00DE65F9" w:rsidRPr="002C0B0C">
        <w:rPr>
          <w:rFonts w:asciiTheme="minorHAnsi" w:hAnsiTheme="minorHAnsi" w:cs="Arial"/>
        </w:rPr>
        <w:t>9</w:t>
      </w:r>
      <w:r w:rsidRPr="002C0B0C">
        <w:rPr>
          <w:rFonts w:asciiTheme="minorHAnsi" w:hAnsiTheme="minorHAnsi" w:cs="Arial"/>
        </w:rPr>
        <w:t xml:space="preserve"> y </w:t>
      </w:r>
      <w:r w:rsidR="003062AF" w:rsidRPr="002C0B0C">
        <w:rPr>
          <w:rFonts w:asciiTheme="minorHAnsi" w:hAnsiTheme="minorHAnsi" w:cs="Arial"/>
        </w:rPr>
        <w:t>explica</w:t>
      </w:r>
      <w:r w:rsidR="00F108C8" w:rsidRPr="002C0B0C">
        <w:rPr>
          <w:rFonts w:asciiTheme="minorHAnsi" w:hAnsiTheme="minorHAnsi" w:cs="Arial"/>
        </w:rPr>
        <w:t xml:space="preserve"> </w:t>
      </w:r>
      <w:r w:rsidR="002C0B0C">
        <w:rPr>
          <w:rFonts w:asciiTheme="minorHAnsi" w:hAnsiTheme="minorHAnsi" w:cs="Arial"/>
        </w:rPr>
        <w:t>56,</w:t>
      </w:r>
      <w:r w:rsidR="002647C9">
        <w:rPr>
          <w:rFonts w:asciiTheme="minorHAnsi" w:hAnsiTheme="minorHAnsi" w:cs="Arial"/>
        </w:rPr>
        <w:t>6</w:t>
      </w:r>
      <w:r w:rsidR="00970FFD">
        <w:rPr>
          <w:rFonts w:asciiTheme="minorHAnsi" w:hAnsiTheme="minorHAnsi" w:cs="Arial"/>
        </w:rPr>
        <w:t>%</w:t>
      </w:r>
      <w:r w:rsidR="00424C76" w:rsidRPr="002C0B0C">
        <w:rPr>
          <w:rFonts w:asciiTheme="minorHAnsi" w:hAnsiTheme="minorHAnsi" w:cs="Arial"/>
        </w:rPr>
        <w:t xml:space="preserve"> del incremento del total</w:t>
      </w:r>
      <w:r w:rsidRPr="002C0B0C">
        <w:rPr>
          <w:rFonts w:asciiTheme="minorHAnsi" w:hAnsiTheme="minorHAnsi" w:cs="Arial"/>
        </w:rPr>
        <w:t xml:space="preserve"> de egresos</w:t>
      </w:r>
      <w:r w:rsidR="00424C76" w:rsidRPr="002C0B0C">
        <w:rPr>
          <w:rFonts w:asciiTheme="minorHAnsi" w:hAnsiTheme="minorHAnsi" w:cs="Arial"/>
        </w:rPr>
        <w:t xml:space="preserve"> (Gráfico 2). Est</w:t>
      </w:r>
      <w:r w:rsidR="007F56FE" w:rsidRPr="002C0B0C">
        <w:rPr>
          <w:rFonts w:asciiTheme="minorHAnsi" w:hAnsiTheme="minorHAnsi" w:cs="Arial"/>
        </w:rPr>
        <w:t>e</w:t>
      </w:r>
      <w:r w:rsidR="00424C76" w:rsidRPr="002C0B0C">
        <w:rPr>
          <w:rFonts w:asciiTheme="minorHAnsi" w:hAnsiTheme="minorHAnsi" w:cs="Arial"/>
        </w:rPr>
        <w:t xml:space="preserve"> comportamiento </w:t>
      </w:r>
      <w:r w:rsidR="002C0B0C" w:rsidRPr="002C0B0C">
        <w:rPr>
          <w:rFonts w:asciiTheme="minorHAnsi" w:hAnsiTheme="minorHAnsi" w:cs="Arial"/>
        </w:rPr>
        <w:t>representa por una parte el arrastre de</w:t>
      </w:r>
      <w:r w:rsidR="004C0047" w:rsidRPr="002C0B0C">
        <w:rPr>
          <w:rFonts w:asciiTheme="minorHAnsi" w:hAnsiTheme="minorHAnsi" w:cs="Arial"/>
        </w:rPr>
        <w:t>l</w:t>
      </w:r>
      <w:r w:rsidR="00424C76" w:rsidRPr="002C0B0C">
        <w:rPr>
          <w:rFonts w:asciiTheme="minorHAnsi" w:hAnsiTheme="minorHAnsi" w:cs="Arial"/>
        </w:rPr>
        <w:t xml:space="preserve"> </w:t>
      </w:r>
      <w:r w:rsidR="00F108C8" w:rsidRPr="002C0B0C">
        <w:rPr>
          <w:rFonts w:asciiTheme="minorHAnsi" w:hAnsiTheme="minorHAnsi" w:cs="Arial"/>
        </w:rPr>
        <w:t>efecto de</w:t>
      </w:r>
      <w:r w:rsidR="00424C76" w:rsidRPr="002C0B0C">
        <w:rPr>
          <w:rFonts w:asciiTheme="minorHAnsi" w:hAnsiTheme="minorHAnsi" w:cs="Arial"/>
        </w:rPr>
        <w:t xml:space="preserve"> la política salarial implementada</w:t>
      </w:r>
      <w:r w:rsidRPr="002C0B0C">
        <w:rPr>
          <w:rFonts w:asciiTheme="minorHAnsi" w:hAnsiTheme="minorHAnsi" w:cs="Arial"/>
        </w:rPr>
        <w:t xml:space="preserve"> </w:t>
      </w:r>
      <w:r w:rsidR="002C0B0C" w:rsidRPr="002C0B0C">
        <w:rPr>
          <w:rFonts w:asciiTheme="minorHAnsi" w:hAnsiTheme="minorHAnsi" w:cs="Arial"/>
        </w:rPr>
        <w:t>en 2019, caracterizada por actualizaciones y recomposiciones salariales notablemente concentradas en el último trimestre del año, más las mejoras a cuenta programadas para el primer trimestre de 2020</w:t>
      </w:r>
      <w:r w:rsidRPr="002C0B0C">
        <w:rPr>
          <w:rFonts w:asciiTheme="minorHAnsi" w:hAnsiTheme="minorHAnsi" w:cs="Arial"/>
        </w:rPr>
        <w:t>.</w:t>
      </w:r>
    </w:p>
    <w:p w:rsidR="00EC0D93" w:rsidRPr="003C1E4C" w:rsidRDefault="00EC0D93" w:rsidP="00EC0D93">
      <w:pPr>
        <w:suppressAutoHyphens/>
        <w:jc w:val="both"/>
        <w:rPr>
          <w:rFonts w:asciiTheme="minorHAnsi" w:hAnsiTheme="minorHAnsi"/>
          <w:highlight w:val="yellow"/>
        </w:rPr>
      </w:pPr>
    </w:p>
    <w:p w:rsidR="00EC0D93" w:rsidRPr="00D81103" w:rsidRDefault="00EC0D93" w:rsidP="00EC0D93">
      <w:pPr>
        <w:suppressAutoHyphens/>
        <w:jc w:val="both"/>
        <w:rPr>
          <w:rFonts w:asciiTheme="minorHAnsi" w:hAnsiTheme="minorHAnsi"/>
        </w:rPr>
      </w:pPr>
      <w:r w:rsidRPr="002C0B0C">
        <w:rPr>
          <w:rFonts w:asciiTheme="minorHAnsi" w:hAnsiTheme="minorHAnsi"/>
        </w:rPr>
        <w:t>Como consecuencia de la mejora salarial otorgada a los trabajadores activos</w:t>
      </w:r>
      <w:r w:rsidR="003744A7">
        <w:rPr>
          <w:rFonts w:asciiTheme="minorHAnsi" w:hAnsiTheme="minorHAnsi"/>
        </w:rPr>
        <w:t>,</w:t>
      </w:r>
      <w:r w:rsidRPr="002C0B0C">
        <w:rPr>
          <w:rFonts w:asciiTheme="minorHAnsi" w:hAnsiTheme="minorHAnsi"/>
        </w:rPr>
        <w:t xml:space="preserve"> los haberes jubilatorios también aumentaron, ocasionando un incremento del gasto de </w:t>
      </w:r>
      <w:r w:rsidR="002C0B0C" w:rsidRPr="002C0B0C">
        <w:rPr>
          <w:rFonts w:asciiTheme="minorHAnsi" w:hAnsiTheme="minorHAnsi"/>
        </w:rPr>
        <w:t>55,</w:t>
      </w:r>
      <w:r w:rsidR="002647C9">
        <w:rPr>
          <w:rFonts w:asciiTheme="minorHAnsi" w:hAnsiTheme="minorHAnsi"/>
        </w:rPr>
        <w:t>2</w:t>
      </w:r>
      <w:r w:rsidR="00970FFD">
        <w:rPr>
          <w:rFonts w:asciiTheme="minorHAnsi" w:hAnsiTheme="minorHAnsi"/>
        </w:rPr>
        <w:t>%</w:t>
      </w:r>
      <w:r w:rsidRPr="002C0B0C">
        <w:rPr>
          <w:rFonts w:asciiTheme="minorHAnsi" w:hAnsiTheme="minorHAnsi"/>
        </w:rPr>
        <w:t xml:space="preserve"> en las Prestaciones a la Seguridad Social (jubilaciones y pensiones en aquellas provincias que conservan sus cajas previsionales</w:t>
      </w:r>
      <w:r w:rsidRPr="002C0B0C">
        <w:rPr>
          <w:rFonts w:asciiTheme="minorHAnsi" w:hAnsiTheme="minorHAnsi"/>
          <w:vertAlign w:val="superscript"/>
        </w:rPr>
        <w:footnoteReference w:id="5"/>
      </w:r>
      <w:r w:rsidRPr="002C0B0C">
        <w:rPr>
          <w:rFonts w:asciiTheme="minorHAnsi" w:hAnsiTheme="minorHAnsi"/>
        </w:rPr>
        <w:t xml:space="preserve">). La magnitud de su crecimiento excede al crecimiento comentado en la partida personal </w:t>
      </w:r>
      <w:r w:rsidR="002C0B0C" w:rsidRPr="002C0B0C">
        <w:rPr>
          <w:rFonts w:asciiTheme="minorHAnsi" w:hAnsiTheme="minorHAnsi"/>
        </w:rPr>
        <w:t>por el efecto de</w:t>
      </w:r>
      <w:r w:rsidRPr="002C0B0C">
        <w:rPr>
          <w:rFonts w:asciiTheme="minorHAnsi" w:hAnsiTheme="minorHAnsi"/>
        </w:rPr>
        <w:t xml:space="preserve"> los aumentos en los haberes mínimos previsionales otorgados por algunas Provincias</w:t>
      </w:r>
      <w:r w:rsidR="002C0B0C" w:rsidRPr="002C0B0C">
        <w:rPr>
          <w:rFonts w:asciiTheme="minorHAnsi" w:hAnsiTheme="minorHAnsi"/>
        </w:rPr>
        <w:t>.</w:t>
      </w:r>
    </w:p>
    <w:p w:rsidR="00424C76" w:rsidRDefault="00424C76" w:rsidP="00424C76">
      <w:pPr>
        <w:suppressAutoHyphens/>
        <w:jc w:val="both"/>
        <w:rPr>
          <w:rFonts w:asciiTheme="minorHAnsi" w:hAnsiTheme="minorHAnsi" w:cs="Arial"/>
        </w:rPr>
      </w:pPr>
    </w:p>
    <w:p w:rsidR="00DE65F9" w:rsidRPr="00495D10" w:rsidRDefault="00DE65F9" w:rsidP="00DE65F9">
      <w:pPr>
        <w:suppressAutoHyphens/>
        <w:jc w:val="both"/>
        <w:rPr>
          <w:rFonts w:asciiTheme="minorHAnsi" w:hAnsiTheme="minorHAnsi"/>
        </w:rPr>
      </w:pPr>
      <w:r w:rsidRPr="00AD282F">
        <w:rPr>
          <w:rFonts w:asciiTheme="minorHAnsi" w:hAnsiTheme="minorHAnsi"/>
        </w:rPr>
        <w:t xml:space="preserve">Por otra parte, los gastos por Transferencias Corrientes registraron un incremento de </w:t>
      </w:r>
      <w:r w:rsidR="002647C9">
        <w:rPr>
          <w:rFonts w:asciiTheme="minorHAnsi" w:hAnsiTheme="minorHAnsi"/>
        </w:rPr>
        <w:t>42,0</w:t>
      </w:r>
      <w:r w:rsidR="00970FFD">
        <w:rPr>
          <w:rFonts w:asciiTheme="minorHAnsi" w:hAnsiTheme="minorHAnsi"/>
        </w:rPr>
        <w:t>%</w:t>
      </w:r>
      <w:r w:rsidRPr="00AD282F">
        <w:rPr>
          <w:rFonts w:asciiTheme="minorHAnsi" w:hAnsiTheme="minorHAnsi"/>
        </w:rPr>
        <w:t xml:space="preserve">, </w:t>
      </w:r>
      <w:r w:rsidR="002C0B0C" w:rsidRPr="00AD282F">
        <w:rPr>
          <w:rFonts w:asciiTheme="minorHAnsi" w:hAnsiTheme="minorHAnsi"/>
        </w:rPr>
        <w:t>siendo</w:t>
      </w:r>
      <w:r w:rsidRPr="00AD282F">
        <w:rPr>
          <w:rFonts w:asciiTheme="minorHAnsi" w:hAnsiTheme="minorHAnsi"/>
        </w:rPr>
        <w:t xml:space="preserve"> sus dos principales componentes, las transferencias destinadas al Sector Público y al Sector Privado, </w:t>
      </w:r>
      <w:r w:rsidR="002647C9">
        <w:rPr>
          <w:rFonts w:asciiTheme="minorHAnsi" w:hAnsiTheme="minorHAnsi"/>
        </w:rPr>
        <w:t xml:space="preserve">que </w:t>
      </w:r>
      <w:r w:rsidRPr="00AD282F">
        <w:rPr>
          <w:rFonts w:asciiTheme="minorHAnsi" w:hAnsiTheme="minorHAnsi"/>
        </w:rPr>
        <w:t xml:space="preserve">se expandieron a tasas interanuales de </w:t>
      </w:r>
      <w:r w:rsidR="00AD282F" w:rsidRPr="00AD282F">
        <w:rPr>
          <w:rFonts w:asciiTheme="minorHAnsi" w:hAnsiTheme="minorHAnsi"/>
        </w:rPr>
        <w:t>45,</w:t>
      </w:r>
      <w:r w:rsidR="002647C9">
        <w:rPr>
          <w:rFonts w:asciiTheme="minorHAnsi" w:hAnsiTheme="minorHAnsi"/>
        </w:rPr>
        <w:t>3</w:t>
      </w:r>
      <w:r w:rsidR="00970FFD">
        <w:rPr>
          <w:rFonts w:asciiTheme="minorHAnsi" w:hAnsiTheme="minorHAnsi"/>
        </w:rPr>
        <w:t>%</w:t>
      </w:r>
      <w:r w:rsidRPr="00AD282F">
        <w:rPr>
          <w:rFonts w:asciiTheme="minorHAnsi" w:hAnsiTheme="minorHAnsi"/>
        </w:rPr>
        <w:t xml:space="preserve"> y de </w:t>
      </w:r>
      <w:r w:rsidR="002647C9">
        <w:rPr>
          <w:rFonts w:asciiTheme="minorHAnsi" w:hAnsiTheme="minorHAnsi"/>
        </w:rPr>
        <w:t>36,6</w:t>
      </w:r>
      <w:r w:rsidR="00970FFD">
        <w:rPr>
          <w:rFonts w:asciiTheme="minorHAnsi" w:hAnsiTheme="minorHAnsi"/>
        </w:rPr>
        <w:t>%</w:t>
      </w:r>
      <w:r w:rsidRPr="00AD282F">
        <w:rPr>
          <w:rFonts w:asciiTheme="minorHAnsi" w:hAnsiTheme="minorHAnsi"/>
        </w:rPr>
        <w:t xml:space="preserve"> respectivamente. El crecimiento de las primeras </w:t>
      </w:r>
      <w:r w:rsidR="00AD282F" w:rsidRPr="00AD282F">
        <w:rPr>
          <w:rFonts w:asciiTheme="minorHAnsi" w:hAnsiTheme="minorHAnsi"/>
        </w:rPr>
        <w:t>sigue</w:t>
      </w:r>
      <w:r w:rsidRPr="00AD282F">
        <w:rPr>
          <w:rFonts w:asciiTheme="minorHAnsi" w:hAnsiTheme="minorHAnsi"/>
        </w:rPr>
        <w:t xml:space="preserve"> en buena medida </w:t>
      </w:r>
      <w:r w:rsidR="00AD282F" w:rsidRPr="00AD282F">
        <w:rPr>
          <w:rFonts w:asciiTheme="minorHAnsi" w:hAnsiTheme="minorHAnsi"/>
        </w:rPr>
        <w:t>el comportamiento de las</w:t>
      </w:r>
      <w:r w:rsidRPr="00AD282F">
        <w:rPr>
          <w:rFonts w:asciiTheme="minorHAnsi" w:hAnsiTheme="minorHAnsi"/>
        </w:rPr>
        <w:t xml:space="preserve"> remesas a los municipios por participación de impuestos, acompañando el aumento antes mencionado en la recaudación coparticipable tanto nacional como provincial y en las regalías. Por su parte las transferencias corrientes al Sector Privado incluyen subsidios a la enseñanza privada, planes sociales y pensiones a la vejez, entre los principales conceptos. Adicionalmente las Jurisdicciones asumieron responsabilidades</w:t>
      </w:r>
      <w:r w:rsidRPr="00AD282F">
        <w:rPr>
          <w:rStyle w:val="Refdenotaalpie"/>
          <w:rFonts w:asciiTheme="minorHAnsi" w:hAnsiTheme="minorHAnsi"/>
        </w:rPr>
        <w:footnoteReference w:id="6"/>
      </w:r>
      <w:r w:rsidRPr="00AD282F">
        <w:rPr>
          <w:rFonts w:asciiTheme="minorHAnsi" w:hAnsiTheme="minorHAnsi"/>
        </w:rPr>
        <w:t xml:space="preserve"> en lo referido a la financiación de las tarifas sociales y las compensaciones tarifarias y/o subsidios al transporte público de pasajeros, lo cual se refleja presupuestariamente en la partida Transferencias Corrientes al Sector Privado.</w:t>
      </w:r>
    </w:p>
    <w:p w:rsidR="00DE65F9" w:rsidRPr="00B85EE8" w:rsidRDefault="00DE65F9" w:rsidP="00DE65F9">
      <w:pPr>
        <w:suppressAutoHyphens/>
        <w:jc w:val="both"/>
        <w:rPr>
          <w:rFonts w:asciiTheme="minorHAnsi" w:hAnsiTheme="minorHAnsi"/>
          <w:highlight w:val="yellow"/>
        </w:rPr>
      </w:pPr>
    </w:p>
    <w:p w:rsidR="00F133D6" w:rsidRPr="00F133D6" w:rsidRDefault="00F133D6" w:rsidP="00F133D6">
      <w:pPr>
        <w:suppressAutoHyphens/>
        <w:jc w:val="center"/>
        <w:rPr>
          <w:rFonts w:ascii="Calibri" w:hAnsi="Calibri"/>
        </w:rPr>
      </w:pPr>
      <w:r w:rsidRPr="00F133D6">
        <w:rPr>
          <w:rFonts w:ascii="Calibri" w:hAnsi="Calibri"/>
          <w:b/>
        </w:rPr>
        <w:t xml:space="preserve">Cuadro </w:t>
      </w:r>
      <w:r w:rsidR="00DA7565">
        <w:rPr>
          <w:rFonts w:ascii="Calibri" w:hAnsi="Calibri"/>
          <w:b/>
        </w:rPr>
        <w:t>3</w:t>
      </w:r>
      <w:r w:rsidRPr="00F133D6">
        <w:rPr>
          <w:rFonts w:ascii="Calibri" w:hAnsi="Calibri"/>
          <w:b/>
        </w:rPr>
        <w:t>.</w:t>
      </w:r>
      <w:r w:rsidRPr="00F133D6">
        <w:rPr>
          <w:rFonts w:ascii="Calibri" w:hAnsi="Calibri"/>
        </w:rPr>
        <w:t xml:space="preserve"> Gastos totales de la APNF</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35460E">
        <w:rPr>
          <w:rFonts w:asciiTheme="minorHAnsi" w:hAnsiTheme="minorHAnsi"/>
        </w:rPr>
        <w:t>20</w:t>
      </w:r>
      <w:r>
        <w:rPr>
          <w:rFonts w:asciiTheme="minorHAnsi" w:hAnsiTheme="minorHAnsi"/>
        </w:rPr>
        <w:t>-201</w:t>
      </w:r>
      <w:r w:rsidR="0035460E">
        <w:rPr>
          <w:rFonts w:asciiTheme="minorHAnsi" w:hAnsiTheme="minorHAnsi"/>
        </w:rPr>
        <w:t>9</w:t>
      </w:r>
    </w:p>
    <w:p w:rsidR="00F133D6" w:rsidRPr="00696972" w:rsidRDefault="00F133D6" w:rsidP="009D616A">
      <w:pPr>
        <w:suppressAutoHyphens/>
        <w:spacing w:after="120"/>
        <w:jc w:val="center"/>
        <w:rPr>
          <w:rFonts w:ascii="Calibri" w:hAnsi="Calibri"/>
        </w:rPr>
      </w:pPr>
      <w:r>
        <w:rPr>
          <w:rFonts w:ascii="Calibri" w:hAnsi="Calibri"/>
        </w:rPr>
        <w:t>E</w:t>
      </w:r>
      <w:r w:rsidRPr="00F133D6">
        <w:rPr>
          <w:rFonts w:ascii="Calibri" w:hAnsi="Calibri"/>
        </w:rPr>
        <w:t>n millones de pesos</w:t>
      </w:r>
    </w:p>
    <w:p w:rsidR="00142052" w:rsidRDefault="00040431" w:rsidP="007E4952">
      <w:pPr>
        <w:suppressAutoHyphens/>
        <w:jc w:val="center"/>
        <w:rPr>
          <w:rFonts w:ascii="Calibri" w:hAnsi="Calibri"/>
          <w:sz w:val="20"/>
          <w:szCs w:val="20"/>
        </w:rPr>
      </w:pPr>
      <w:r w:rsidRPr="00040431">
        <w:rPr>
          <w:noProof/>
          <w:lang w:val="es-AR" w:eastAsia="es-AR"/>
        </w:rPr>
        <w:drawing>
          <wp:inline distT="0" distB="0" distL="0" distR="0">
            <wp:extent cx="5400675" cy="3481653"/>
            <wp:effectExtent l="0" t="0" r="0" b="508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3481653"/>
                    </a:xfrm>
                    <a:prstGeom prst="rect">
                      <a:avLst/>
                    </a:prstGeom>
                    <a:noFill/>
                    <a:ln>
                      <a:noFill/>
                    </a:ln>
                  </pic:spPr>
                </pic:pic>
              </a:graphicData>
            </a:graphic>
          </wp:inline>
        </w:drawing>
      </w:r>
    </w:p>
    <w:p w:rsidR="00590089" w:rsidRPr="00DB5695" w:rsidRDefault="00590089" w:rsidP="00590089">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E65F9" w:rsidRDefault="00DE65F9" w:rsidP="00DE65F9">
      <w:pPr>
        <w:jc w:val="both"/>
        <w:rPr>
          <w:rFonts w:asciiTheme="minorHAnsi" w:hAnsiTheme="minorHAnsi"/>
        </w:rPr>
      </w:pPr>
    </w:p>
    <w:p w:rsidR="00DE65F9" w:rsidRPr="00AD282F" w:rsidRDefault="00DE65F9" w:rsidP="00DE65F9">
      <w:pPr>
        <w:jc w:val="both"/>
        <w:rPr>
          <w:rFonts w:asciiTheme="minorHAnsi" w:hAnsiTheme="minorHAnsi"/>
        </w:rPr>
      </w:pPr>
      <w:r w:rsidRPr="00AD282F">
        <w:rPr>
          <w:rFonts w:asciiTheme="minorHAnsi" w:hAnsiTheme="minorHAnsi"/>
        </w:rPr>
        <w:t xml:space="preserve">Las Rentas de la Propiedad muestran un incremento de </w:t>
      </w:r>
      <w:r w:rsidR="002647C9">
        <w:rPr>
          <w:rFonts w:asciiTheme="minorHAnsi" w:hAnsiTheme="minorHAnsi"/>
        </w:rPr>
        <w:t>13</w:t>
      </w:r>
      <w:r w:rsidR="00AD282F" w:rsidRPr="00AD282F">
        <w:rPr>
          <w:rFonts w:asciiTheme="minorHAnsi" w:hAnsiTheme="minorHAnsi"/>
        </w:rPr>
        <w:t>,9</w:t>
      </w:r>
      <w:r w:rsidR="00970FFD">
        <w:rPr>
          <w:rFonts w:asciiTheme="minorHAnsi" w:hAnsiTheme="minorHAnsi"/>
        </w:rPr>
        <w:t>%</w:t>
      </w:r>
      <w:r w:rsidRPr="00AD282F">
        <w:rPr>
          <w:rFonts w:asciiTheme="minorHAnsi" w:hAnsiTheme="minorHAnsi"/>
        </w:rPr>
        <w:t xml:space="preserve"> respecto de igual período del año </w:t>
      </w:r>
      <w:r w:rsidR="00AD282F" w:rsidRPr="00AD282F">
        <w:rPr>
          <w:rFonts w:asciiTheme="minorHAnsi" w:hAnsiTheme="minorHAnsi"/>
        </w:rPr>
        <w:t>anterior</w:t>
      </w:r>
      <w:r w:rsidRPr="00AD282F">
        <w:rPr>
          <w:rFonts w:asciiTheme="minorHAnsi" w:hAnsiTheme="minorHAnsi"/>
        </w:rPr>
        <w:t>. Este rubro alcanza, al primer trimestre de 20</w:t>
      </w:r>
      <w:r w:rsidR="00AD282F" w:rsidRPr="00AD282F">
        <w:rPr>
          <w:rFonts w:asciiTheme="minorHAnsi" w:hAnsiTheme="minorHAnsi"/>
        </w:rPr>
        <w:t>20</w:t>
      </w:r>
      <w:r w:rsidRPr="00AD282F">
        <w:rPr>
          <w:rFonts w:asciiTheme="minorHAnsi" w:hAnsiTheme="minorHAnsi"/>
        </w:rPr>
        <w:t xml:space="preserve">, una participación dentro del total de erogaciones de </w:t>
      </w:r>
      <w:r w:rsidR="00AD282F" w:rsidRPr="00AD282F">
        <w:rPr>
          <w:rFonts w:asciiTheme="minorHAnsi" w:hAnsiTheme="minorHAnsi"/>
        </w:rPr>
        <w:t>4,</w:t>
      </w:r>
      <w:r w:rsidR="002647C9">
        <w:rPr>
          <w:rFonts w:asciiTheme="minorHAnsi" w:hAnsiTheme="minorHAnsi"/>
        </w:rPr>
        <w:t>3</w:t>
      </w:r>
      <w:r w:rsidR="00970FFD">
        <w:rPr>
          <w:rFonts w:asciiTheme="minorHAnsi" w:hAnsiTheme="minorHAnsi"/>
        </w:rPr>
        <w:t>%</w:t>
      </w:r>
      <w:r w:rsidRPr="00AD282F">
        <w:rPr>
          <w:rFonts w:asciiTheme="minorHAnsi" w:hAnsiTheme="minorHAnsi"/>
        </w:rPr>
        <w:t>.</w:t>
      </w:r>
    </w:p>
    <w:p w:rsidR="00DE65F9" w:rsidRPr="003C1E4C" w:rsidRDefault="00DE65F9" w:rsidP="00DE65F9">
      <w:pPr>
        <w:jc w:val="both"/>
        <w:rPr>
          <w:rFonts w:asciiTheme="minorHAnsi" w:hAnsiTheme="minorHAnsi"/>
          <w:highlight w:val="yellow"/>
        </w:rPr>
      </w:pPr>
    </w:p>
    <w:p w:rsidR="00D345C3" w:rsidRDefault="00D345C3" w:rsidP="00D345C3">
      <w:pPr>
        <w:jc w:val="both"/>
        <w:rPr>
          <w:rFonts w:asciiTheme="minorHAnsi" w:hAnsiTheme="minorHAnsi"/>
        </w:rPr>
      </w:pPr>
      <w:r>
        <w:rPr>
          <w:rFonts w:asciiTheme="minorHAnsi" w:hAnsiTheme="minorHAnsi"/>
        </w:rPr>
        <w:t>Del total del pago de intereses del primer trimestre, la mayor parte corresponde al rubro Títulos Públicos, con 61,6%. Es importante aclarar que durante 2016 y 2017 varias provincias se volcaron al Mercado Internacional de capitales. Muchas de esas emisiones amortizan en una sola cuota al vencimiento o en los últimos años de vida de los bonos, con lo cual, al no cancelar capital, las primeras cuotas de intereses se pagan sobre el stock total del capital, haciendo mayor el monto a erogar. Durante el presente año muchas provincias han comenzado</w:t>
      </w:r>
      <w:r>
        <w:t xml:space="preserve"> </w:t>
      </w:r>
      <w:r>
        <w:rPr>
          <w:rFonts w:asciiTheme="minorHAnsi" w:hAnsiTheme="minorHAnsi"/>
        </w:rPr>
        <w:t>con sus acreedores el proceso de renegociación de Títulos en busca de obtener mejores condiciones financieras.</w:t>
      </w:r>
    </w:p>
    <w:p w:rsidR="00D345C3" w:rsidRPr="00D345C3" w:rsidRDefault="00D345C3" w:rsidP="00D345C3">
      <w:pPr>
        <w:jc w:val="both"/>
        <w:rPr>
          <w:rFonts w:asciiTheme="minorHAnsi" w:hAnsiTheme="minorHAnsi"/>
        </w:rPr>
      </w:pPr>
    </w:p>
    <w:p w:rsidR="00D345C3" w:rsidRDefault="00D345C3" w:rsidP="00D345C3">
      <w:pPr>
        <w:jc w:val="both"/>
        <w:rPr>
          <w:rFonts w:asciiTheme="minorHAnsi" w:hAnsiTheme="minorHAnsi"/>
        </w:rPr>
      </w:pPr>
      <w:r>
        <w:rPr>
          <w:rFonts w:asciiTheme="minorHAnsi" w:hAnsiTheme="minorHAnsi"/>
        </w:rPr>
        <w:t>Dentro del rubro Gobierno Nacional se encuentran los pagos al Fondo de Garantía de Sustentabilidad (FGS) de ANSES del préstamo que recibieron las provincias en el marco de la devolución de los 15 puntos de masa coparticipable con destino a obligaciones previsionales nacionales. Este préstamo es el equivalente a 6 puntos porcentuales en el año 2016 y de 3 puntos porcentuales para cada uno de los períodos 2017, 2018 y 2019. Es decir, que cada año las provincias deben afrontar el pago de los inte</w:t>
      </w:r>
      <w:r w:rsidR="00DF2DE9">
        <w:rPr>
          <w:rFonts w:asciiTheme="minorHAnsi" w:hAnsiTheme="minorHAnsi"/>
        </w:rPr>
        <w:t>reses de cada nuevo desembolso.</w:t>
      </w:r>
    </w:p>
    <w:p w:rsidR="0076644C" w:rsidRPr="00046D11" w:rsidRDefault="0076644C" w:rsidP="0076644C">
      <w:pPr>
        <w:suppressAutoHyphens/>
        <w:jc w:val="both"/>
        <w:rPr>
          <w:rFonts w:asciiTheme="minorHAnsi" w:hAnsiTheme="minorHAnsi"/>
          <w:highlight w:val="yellow"/>
        </w:rPr>
      </w:pPr>
    </w:p>
    <w:p w:rsidR="0076644C" w:rsidRDefault="0076644C" w:rsidP="009D616A">
      <w:pPr>
        <w:suppressAutoHyphens/>
        <w:spacing w:after="120"/>
        <w:jc w:val="center"/>
        <w:rPr>
          <w:rFonts w:asciiTheme="minorHAnsi" w:hAnsiTheme="minorHAnsi" w:cs="Arial"/>
        </w:rPr>
      </w:pPr>
      <w:r w:rsidRPr="002D05F0">
        <w:rPr>
          <w:rFonts w:asciiTheme="minorHAnsi" w:hAnsiTheme="minorHAnsi" w:cs="Arial"/>
          <w:b/>
        </w:rPr>
        <w:t xml:space="preserve">Gráfico </w:t>
      </w:r>
      <w:r w:rsidR="00DA7565">
        <w:rPr>
          <w:rFonts w:asciiTheme="minorHAnsi" w:hAnsiTheme="minorHAnsi" w:cs="Arial"/>
          <w:b/>
        </w:rPr>
        <w:t>2</w:t>
      </w:r>
      <w:r w:rsidRPr="002D05F0">
        <w:rPr>
          <w:rFonts w:asciiTheme="minorHAnsi" w:hAnsiTheme="minorHAnsi" w:cs="Arial"/>
        </w:rPr>
        <w:t xml:space="preserve">: Contribución de cada concepto en el incremento interanual de los gastos totales de la APNF. </w:t>
      </w:r>
      <w:r w:rsidR="00F702B8" w:rsidRPr="002D05F0">
        <w:rPr>
          <w:rFonts w:asciiTheme="minorHAnsi" w:hAnsiTheme="minorHAnsi" w:cs="Arial"/>
        </w:rPr>
        <w:t>I Tri</w:t>
      </w:r>
      <w:r w:rsidR="00361D4D" w:rsidRPr="002D05F0">
        <w:rPr>
          <w:rFonts w:asciiTheme="minorHAnsi" w:hAnsiTheme="minorHAnsi" w:cs="Arial"/>
        </w:rPr>
        <w:t>mestre</w:t>
      </w:r>
      <w:r w:rsidRPr="002D05F0">
        <w:rPr>
          <w:rFonts w:asciiTheme="minorHAnsi" w:hAnsiTheme="minorHAnsi" w:cs="Arial"/>
        </w:rPr>
        <w:t xml:space="preserve"> 20</w:t>
      </w:r>
      <w:r w:rsidR="0035460E">
        <w:rPr>
          <w:rFonts w:asciiTheme="minorHAnsi" w:hAnsiTheme="minorHAnsi" w:cs="Arial"/>
        </w:rPr>
        <w:t>20</w:t>
      </w:r>
    </w:p>
    <w:p w:rsidR="005D1990" w:rsidRPr="009D616A" w:rsidRDefault="002647C9" w:rsidP="005D1990">
      <w:pPr>
        <w:suppressAutoHyphens/>
        <w:jc w:val="center"/>
        <w:rPr>
          <w:rFonts w:asciiTheme="minorHAnsi" w:hAnsiTheme="minorHAnsi"/>
          <w:b/>
          <w:sz w:val="20"/>
          <w:szCs w:val="20"/>
        </w:rPr>
      </w:pPr>
      <w:r>
        <w:rPr>
          <w:rFonts w:asciiTheme="minorHAnsi" w:hAnsiTheme="minorHAnsi"/>
          <w:b/>
          <w:noProof/>
          <w:sz w:val="20"/>
          <w:szCs w:val="20"/>
          <w:lang w:val="es-AR" w:eastAsia="es-AR"/>
        </w:rPr>
        <w:drawing>
          <wp:inline distT="0" distB="0" distL="0" distR="0" wp14:anchorId="3CF2B9BC">
            <wp:extent cx="5205600" cy="3405600"/>
            <wp:effectExtent l="19050" t="19050" r="14605" b="2349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05600" cy="3405600"/>
                    </a:xfrm>
                    <a:prstGeom prst="rect">
                      <a:avLst/>
                    </a:prstGeom>
                    <a:noFill/>
                    <a:ln w="15875">
                      <a:solidFill>
                        <a:schemeClr val="tx1"/>
                      </a:solidFill>
                    </a:ln>
                  </pic:spPr>
                </pic:pic>
              </a:graphicData>
            </a:graphic>
          </wp:inline>
        </w:drawing>
      </w:r>
    </w:p>
    <w:p w:rsidR="00590089" w:rsidRPr="00DB5695" w:rsidRDefault="00590089" w:rsidP="00DF2DE9">
      <w:pPr>
        <w:suppressAutoHyphens/>
        <w:ind w:left="142"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EC0D93" w:rsidRPr="003C1E4C" w:rsidRDefault="00EC0D93" w:rsidP="00EC0D93">
      <w:pPr>
        <w:jc w:val="both"/>
        <w:rPr>
          <w:rFonts w:asciiTheme="minorHAnsi" w:hAnsiTheme="minorHAnsi"/>
          <w:highlight w:val="yellow"/>
        </w:rPr>
      </w:pPr>
    </w:p>
    <w:p w:rsidR="00F361A2" w:rsidRPr="007E4911" w:rsidRDefault="00C0238D" w:rsidP="00EC0D93">
      <w:pPr>
        <w:suppressAutoHyphens/>
        <w:jc w:val="both"/>
        <w:rPr>
          <w:rFonts w:asciiTheme="minorHAnsi" w:hAnsiTheme="minorHAnsi"/>
        </w:rPr>
      </w:pPr>
      <w:r w:rsidRPr="00AD282F">
        <w:rPr>
          <w:rFonts w:asciiTheme="minorHAnsi" w:hAnsiTheme="minorHAnsi"/>
        </w:rPr>
        <w:t>Por otra parte, l</w:t>
      </w:r>
      <w:r w:rsidR="00F361A2" w:rsidRPr="00AD282F">
        <w:rPr>
          <w:rFonts w:asciiTheme="minorHAnsi" w:hAnsiTheme="minorHAnsi"/>
        </w:rPr>
        <w:t xml:space="preserve">os Gastos de Capital presentan </w:t>
      </w:r>
      <w:r w:rsidR="00AD282F" w:rsidRPr="00AD282F">
        <w:rPr>
          <w:rFonts w:asciiTheme="minorHAnsi" w:hAnsiTheme="minorHAnsi"/>
        </w:rPr>
        <w:t>una disminución nominal</w:t>
      </w:r>
      <w:r w:rsidR="00F361A2" w:rsidRPr="00AD282F">
        <w:rPr>
          <w:rFonts w:asciiTheme="minorHAnsi" w:hAnsiTheme="minorHAnsi"/>
        </w:rPr>
        <w:t xml:space="preserve"> </w:t>
      </w:r>
      <w:r w:rsidR="00B16FA3" w:rsidRPr="00AD282F">
        <w:rPr>
          <w:rFonts w:asciiTheme="minorHAnsi" w:hAnsiTheme="minorHAnsi"/>
        </w:rPr>
        <w:t xml:space="preserve">de </w:t>
      </w:r>
      <w:r w:rsidR="00AD282F" w:rsidRPr="00AD282F">
        <w:rPr>
          <w:rFonts w:asciiTheme="minorHAnsi" w:hAnsiTheme="minorHAnsi"/>
        </w:rPr>
        <w:t>23,</w:t>
      </w:r>
      <w:r w:rsidR="002647C9">
        <w:rPr>
          <w:rFonts w:asciiTheme="minorHAnsi" w:hAnsiTheme="minorHAnsi"/>
        </w:rPr>
        <w:t>3</w:t>
      </w:r>
      <w:r w:rsidR="00970FFD">
        <w:rPr>
          <w:rFonts w:asciiTheme="minorHAnsi" w:hAnsiTheme="minorHAnsi"/>
        </w:rPr>
        <w:t>%</w:t>
      </w:r>
      <w:r w:rsidR="00DD63FF" w:rsidRPr="00AD282F">
        <w:rPr>
          <w:rFonts w:asciiTheme="minorHAnsi" w:hAnsiTheme="minorHAnsi"/>
        </w:rPr>
        <w:t>,</w:t>
      </w:r>
      <w:r w:rsidRPr="00AD282F">
        <w:rPr>
          <w:rFonts w:asciiTheme="minorHAnsi" w:hAnsiTheme="minorHAnsi"/>
        </w:rPr>
        <w:t xml:space="preserve"> </w:t>
      </w:r>
      <w:r w:rsidR="00DD63FF" w:rsidRPr="00AD282F">
        <w:rPr>
          <w:rFonts w:asciiTheme="minorHAnsi" w:hAnsiTheme="minorHAnsi"/>
        </w:rPr>
        <w:t>producto</w:t>
      </w:r>
      <w:r w:rsidRPr="00AD282F">
        <w:rPr>
          <w:rFonts w:asciiTheme="minorHAnsi" w:hAnsiTheme="minorHAnsi"/>
        </w:rPr>
        <w:t xml:space="preserve"> </w:t>
      </w:r>
      <w:r w:rsidR="00AD282F" w:rsidRPr="00AD282F">
        <w:rPr>
          <w:rFonts w:asciiTheme="minorHAnsi" w:hAnsiTheme="minorHAnsi"/>
        </w:rPr>
        <w:t>de una fuerte desaceleración</w:t>
      </w:r>
      <w:r w:rsidR="00F361A2" w:rsidRPr="00AD282F">
        <w:rPr>
          <w:rFonts w:asciiTheme="minorHAnsi" w:hAnsiTheme="minorHAnsi"/>
        </w:rPr>
        <w:t xml:space="preserve"> de la Inversión Real Directa </w:t>
      </w:r>
      <w:r w:rsidR="00AD282F" w:rsidRPr="00AD282F">
        <w:rPr>
          <w:rFonts w:asciiTheme="minorHAnsi" w:hAnsiTheme="minorHAnsi"/>
        </w:rPr>
        <w:t>-</w:t>
      </w:r>
      <w:r w:rsidR="00F361A2" w:rsidRPr="00AD282F">
        <w:rPr>
          <w:rFonts w:asciiTheme="minorHAnsi" w:hAnsiTheme="minorHAnsi"/>
        </w:rPr>
        <w:t xml:space="preserve">que </w:t>
      </w:r>
      <w:r w:rsidR="00AD282F" w:rsidRPr="00AD282F">
        <w:rPr>
          <w:rFonts w:asciiTheme="minorHAnsi" w:hAnsiTheme="minorHAnsi"/>
        </w:rPr>
        <w:t>cae</w:t>
      </w:r>
      <w:r w:rsidR="00F361A2" w:rsidRPr="00AD282F">
        <w:rPr>
          <w:rFonts w:asciiTheme="minorHAnsi" w:hAnsiTheme="minorHAnsi"/>
        </w:rPr>
        <w:t xml:space="preserve"> </w:t>
      </w:r>
      <w:r w:rsidR="002647C9">
        <w:rPr>
          <w:rFonts w:asciiTheme="minorHAnsi" w:hAnsiTheme="minorHAnsi"/>
        </w:rPr>
        <w:t>26,5</w:t>
      </w:r>
      <w:r w:rsidR="00970FFD">
        <w:rPr>
          <w:rFonts w:asciiTheme="minorHAnsi" w:hAnsiTheme="minorHAnsi"/>
        </w:rPr>
        <w:t>%</w:t>
      </w:r>
      <w:r w:rsidR="00AD282F" w:rsidRPr="00AD282F">
        <w:rPr>
          <w:rFonts w:asciiTheme="minorHAnsi" w:hAnsiTheme="minorHAnsi"/>
        </w:rPr>
        <w:t>-</w:t>
      </w:r>
      <w:r w:rsidRPr="00AD282F">
        <w:rPr>
          <w:rFonts w:asciiTheme="minorHAnsi" w:hAnsiTheme="minorHAnsi"/>
        </w:rPr>
        <w:t xml:space="preserve"> </w:t>
      </w:r>
      <w:r w:rsidR="00AD282F" w:rsidRPr="00AD282F">
        <w:rPr>
          <w:rFonts w:asciiTheme="minorHAnsi" w:hAnsiTheme="minorHAnsi"/>
        </w:rPr>
        <w:t>y de una disminución análoga</w:t>
      </w:r>
      <w:r w:rsidRPr="00AD282F">
        <w:rPr>
          <w:rFonts w:asciiTheme="minorHAnsi" w:hAnsiTheme="minorHAnsi"/>
        </w:rPr>
        <w:t xml:space="preserve"> de las Transferencias de Capital del </w:t>
      </w:r>
      <w:r w:rsidR="00AD282F" w:rsidRPr="00AD282F">
        <w:rPr>
          <w:rFonts w:asciiTheme="minorHAnsi" w:hAnsiTheme="minorHAnsi"/>
        </w:rPr>
        <w:t>25,6</w:t>
      </w:r>
      <w:r w:rsidR="00970FFD">
        <w:rPr>
          <w:rFonts w:asciiTheme="minorHAnsi" w:hAnsiTheme="minorHAnsi"/>
        </w:rPr>
        <w:t>%</w:t>
      </w:r>
      <w:r w:rsidR="00AD282F" w:rsidRPr="00AD282F">
        <w:rPr>
          <w:rFonts w:asciiTheme="minorHAnsi" w:hAnsiTheme="minorHAnsi"/>
        </w:rPr>
        <w:t>, mientras que la</w:t>
      </w:r>
      <w:r w:rsidR="00F361A2" w:rsidRPr="00AD282F">
        <w:rPr>
          <w:rFonts w:asciiTheme="minorHAnsi" w:hAnsiTheme="minorHAnsi"/>
        </w:rPr>
        <w:t xml:space="preserve"> Inversión Financiera </w:t>
      </w:r>
      <w:r w:rsidR="00AD282F" w:rsidRPr="00AD282F">
        <w:rPr>
          <w:rFonts w:asciiTheme="minorHAnsi" w:hAnsiTheme="minorHAnsi"/>
        </w:rPr>
        <w:t>se mantiene prácticamente inalterada (+1,2</w:t>
      </w:r>
      <w:r w:rsidR="00970FFD">
        <w:rPr>
          <w:rFonts w:asciiTheme="minorHAnsi" w:hAnsiTheme="minorHAnsi"/>
        </w:rPr>
        <w:t>%</w:t>
      </w:r>
      <w:r w:rsidR="00AD282F" w:rsidRPr="00AD282F">
        <w:rPr>
          <w:rFonts w:asciiTheme="minorHAnsi" w:hAnsiTheme="minorHAnsi"/>
        </w:rPr>
        <w:t>)</w:t>
      </w:r>
      <w:r w:rsidR="00F361A2" w:rsidRPr="00AD282F">
        <w:rPr>
          <w:rFonts w:asciiTheme="minorHAnsi" w:hAnsiTheme="minorHAnsi"/>
        </w:rPr>
        <w:t>.</w:t>
      </w:r>
      <w:r w:rsidR="00AD282F" w:rsidRPr="00AD282F">
        <w:rPr>
          <w:rFonts w:asciiTheme="minorHAnsi" w:hAnsiTheme="minorHAnsi"/>
        </w:rPr>
        <w:t xml:space="preserve"> Esta disminución puede imputarse al primer efecto causado por las restricciones establecidas sobre la actividad económica en general y la obra pública en particular a partir de la </w:t>
      </w:r>
      <w:r w:rsidR="002647C9">
        <w:rPr>
          <w:rFonts w:asciiTheme="minorHAnsi" w:hAnsiTheme="minorHAnsi"/>
        </w:rPr>
        <w:t>pan</w:t>
      </w:r>
      <w:r w:rsidR="00AD282F" w:rsidRPr="00AD282F">
        <w:rPr>
          <w:rFonts w:asciiTheme="minorHAnsi" w:hAnsiTheme="minorHAnsi"/>
        </w:rPr>
        <w:t>demia del Covid-19.</w:t>
      </w:r>
    </w:p>
    <w:p w:rsidR="00F361A2" w:rsidRPr="00046D11" w:rsidRDefault="00F361A2" w:rsidP="00F361A2">
      <w:pPr>
        <w:suppressAutoHyphens/>
        <w:jc w:val="both"/>
        <w:rPr>
          <w:rFonts w:asciiTheme="minorHAnsi" w:hAnsiTheme="minorHAnsi"/>
          <w:highlight w:val="yellow"/>
        </w:rPr>
      </w:pPr>
    </w:p>
    <w:p w:rsidR="00DE65F9" w:rsidRPr="00AD282F" w:rsidRDefault="00DE65F9" w:rsidP="00DE65F9">
      <w:pPr>
        <w:suppressAutoHyphens/>
        <w:jc w:val="both"/>
        <w:rPr>
          <w:rFonts w:asciiTheme="minorHAnsi" w:hAnsiTheme="minorHAnsi"/>
        </w:rPr>
      </w:pPr>
      <w:r w:rsidRPr="00AD282F">
        <w:rPr>
          <w:rFonts w:asciiTheme="minorHAnsi" w:hAnsiTheme="minorHAnsi"/>
        </w:rPr>
        <w:t>El Gráfico 3 muestra la estructura del gasto, manifestando la relevancia de los egresos en Personal (4</w:t>
      </w:r>
      <w:r w:rsidR="00AD282F" w:rsidRPr="00AD282F">
        <w:rPr>
          <w:rFonts w:asciiTheme="minorHAnsi" w:hAnsiTheme="minorHAnsi"/>
        </w:rPr>
        <w:t>8</w:t>
      </w:r>
      <w:r w:rsidRPr="00AD282F">
        <w:rPr>
          <w:rFonts w:asciiTheme="minorHAnsi" w:hAnsiTheme="minorHAnsi"/>
        </w:rPr>
        <w:t>,</w:t>
      </w:r>
      <w:r w:rsidR="002647C9">
        <w:rPr>
          <w:rFonts w:asciiTheme="minorHAnsi" w:hAnsiTheme="minorHAnsi"/>
        </w:rPr>
        <w:t>3</w:t>
      </w:r>
      <w:r w:rsidR="00970FFD">
        <w:rPr>
          <w:rFonts w:asciiTheme="minorHAnsi" w:hAnsiTheme="minorHAnsi"/>
        </w:rPr>
        <w:t>%</w:t>
      </w:r>
      <w:r w:rsidRPr="00AD282F">
        <w:rPr>
          <w:rFonts w:asciiTheme="minorHAnsi" w:hAnsiTheme="minorHAnsi"/>
        </w:rPr>
        <w:t>), que más que duplican al siguiente concepto, las Transferencias Corrientes (</w:t>
      </w:r>
      <w:r w:rsidR="002647C9">
        <w:rPr>
          <w:rFonts w:asciiTheme="minorHAnsi" w:hAnsiTheme="minorHAnsi"/>
        </w:rPr>
        <w:t>21,2</w:t>
      </w:r>
      <w:r w:rsidR="00970FFD">
        <w:rPr>
          <w:rFonts w:asciiTheme="minorHAnsi" w:hAnsiTheme="minorHAnsi"/>
        </w:rPr>
        <w:t>%</w:t>
      </w:r>
      <w:r w:rsidRPr="00AD282F">
        <w:rPr>
          <w:rFonts w:asciiTheme="minorHAnsi" w:hAnsiTheme="minorHAnsi"/>
        </w:rPr>
        <w:t>)</w:t>
      </w:r>
      <w:r w:rsidR="002647C9">
        <w:rPr>
          <w:rFonts w:asciiTheme="minorHAnsi" w:hAnsiTheme="minorHAnsi"/>
        </w:rPr>
        <w:t>, en las cuales se comprenden las transferencias corrientes a los Municipios</w:t>
      </w:r>
      <w:r w:rsidRPr="00AD282F">
        <w:rPr>
          <w:rFonts w:asciiTheme="minorHAnsi" w:hAnsiTheme="minorHAnsi"/>
        </w:rPr>
        <w:t>.</w:t>
      </w:r>
    </w:p>
    <w:p w:rsidR="00DE65F9" w:rsidRDefault="00DE65F9" w:rsidP="00DE65F9">
      <w:pPr>
        <w:suppressAutoHyphens/>
        <w:jc w:val="both"/>
        <w:rPr>
          <w:rFonts w:asciiTheme="minorHAnsi" w:hAnsiTheme="minorHAnsi"/>
          <w:highlight w:val="yellow"/>
        </w:rPr>
      </w:pPr>
    </w:p>
    <w:p w:rsidR="000B5E01" w:rsidRPr="000B5E01" w:rsidRDefault="00DE65F9" w:rsidP="00DE65F9">
      <w:pPr>
        <w:suppressAutoHyphens/>
        <w:jc w:val="both"/>
        <w:rPr>
          <w:rFonts w:asciiTheme="minorHAnsi" w:hAnsiTheme="minorHAnsi"/>
        </w:rPr>
      </w:pPr>
      <w:r w:rsidRPr="000B5E01">
        <w:rPr>
          <w:rFonts w:asciiTheme="minorHAnsi" w:hAnsiTheme="minorHAnsi"/>
        </w:rPr>
        <w:t xml:space="preserve">Las Prestaciones a la Seguridad Social </w:t>
      </w:r>
      <w:r w:rsidR="00AD282F" w:rsidRPr="000B5E01">
        <w:rPr>
          <w:rFonts w:asciiTheme="minorHAnsi" w:hAnsiTheme="minorHAnsi"/>
        </w:rPr>
        <w:t>absorbieron</w:t>
      </w:r>
      <w:r w:rsidRPr="000B5E01">
        <w:rPr>
          <w:rFonts w:asciiTheme="minorHAnsi" w:hAnsiTheme="minorHAnsi"/>
        </w:rPr>
        <w:t xml:space="preserve"> </w:t>
      </w:r>
      <w:r w:rsidR="000B5E01">
        <w:rPr>
          <w:rFonts w:asciiTheme="minorHAnsi" w:hAnsiTheme="minorHAnsi"/>
        </w:rPr>
        <w:t xml:space="preserve">por su parte </w:t>
      </w:r>
      <w:r w:rsidR="00AD282F" w:rsidRPr="000B5E01">
        <w:rPr>
          <w:rFonts w:asciiTheme="minorHAnsi" w:hAnsiTheme="minorHAnsi"/>
        </w:rPr>
        <w:t>14,5</w:t>
      </w:r>
      <w:r w:rsidR="00970FFD">
        <w:rPr>
          <w:rFonts w:asciiTheme="minorHAnsi" w:hAnsiTheme="minorHAnsi"/>
        </w:rPr>
        <w:t>%</w:t>
      </w:r>
      <w:r w:rsidR="00AD282F" w:rsidRPr="000B5E01">
        <w:rPr>
          <w:rFonts w:asciiTheme="minorHAnsi" w:hAnsiTheme="minorHAnsi"/>
        </w:rPr>
        <w:t xml:space="preserve"> de las erogaciones totales</w:t>
      </w:r>
      <w:r w:rsidRPr="000B5E01">
        <w:rPr>
          <w:rFonts w:asciiTheme="minorHAnsi" w:hAnsiTheme="minorHAnsi"/>
        </w:rPr>
        <w:t xml:space="preserve">, lo que significa que </w:t>
      </w:r>
      <w:r w:rsidR="00AD282F" w:rsidRPr="000B5E01">
        <w:rPr>
          <w:rFonts w:asciiTheme="minorHAnsi" w:hAnsiTheme="minorHAnsi"/>
        </w:rPr>
        <w:t>62,</w:t>
      </w:r>
      <w:r w:rsidR="00DF2DE9">
        <w:rPr>
          <w:rFonts w:asciiTheme="minorHAnsi" w:hAnsiTheme="minorHAnsi"/>
        </w:rPr>
        <w:t>7</w:t>
      </w:r>
      <w:r w:rsidR="00970FFD">
        <w:rPr>
          <w:rFonts w:asciiTheme="minorHAnsi" w:hAnsiTheme="minorHAnsi"/>
        </w:rPr>
        <w:t>%</w:t>
      </w:r>
      <w:r w:rsidRPr="000B5E01">
        <w:rPr>
          <w:rFonts w:asciiTheme="minorHAnsi" w:hAnsiTheme="minorHAnsi"/>
        </w:rPr>
        <w:t xml:space="preserve"> del gasto se aplica a la remuneración del personal activo y pasivo del conjunto de las jurisdicciones. </w:t>
      </w:r>
      <w:r w:rsidR="000B5E01" w:rsidRPr="000B5E01">
        <w:rPr>
          <w:rFonts w:asciiTheme="minorHAnsi" w:hAnsiTheme="minorHAnsi"/>
        </w:rPr>
        <w:t xml:space="preserve">Este porcentaje se ve incrementado </w:t>
      </w:r>
      <w:r w:rsidR="000B5E01">
        <w:rPr>
          <w:rFonts w:asciiTheme="minorHAnsi" w:hAnsiTheme="minorHAnsi"/>
        </w:rPr>
        <w:t xml:space="preserve">respecto de igual período de 2019 </w:t>
      </w:r>
      <w:r w:rsidR="000B5E01" w:rsidRPr="000B5E01">
        <w:rPr>
          <w:rFonts w:asciiTheme="minorHAnsi" w:hAnsiTheme="minorHAnsi"/>
        </w:rPr>
        <w:t>por la referida caída en términos absolutos y relativos de las erogaciones de capital.</w:t>
      </w:r>
    </w:p>
    <w:p w:rsidR="000B5E01" w:rsidRDefault="000B5E01" w:rsidP="00DE65F9">
      <w:pPr>
        <w:suppressAutoHyphens/>
        <w:jc w:val="both"/>
        <w:rPr>
          <w:rFonts w:asciiTheme="minorHAnsi" w:hAnsiTheme="minorHAnsi"/>
          <w:highlight w:val="yellow"/>
        </w:rPr>
      </w:pPr>
    </w:p>
    <w:p w:rsidR="00DE65F9" w:rsidRDefault="00DE65F9" w:rsidP="00DE65F9">
      <w:pPr>
        <w:suppressAutoHyphens/>
        <w:jc w:val="both"/>
        <w:rPr>
          <w:rFonts w:asciiTheme="minorHAnsi" w:hAnsiTheme="minorHAnsi"/>
        </w:rPr>
      </w:pPr>
      <w:r w:rsidRPr="000B5E01">
        <w:rPr>
          <w:rFonts w:asciiTheme="minorHAnsi" w:hAnsiTheme="minorHAnsi"/>
        </w:rPr>
        <w:t>A continuación</w:t>
      </w:r>
      <w:r w:rsidR="00DF2DE9">
        <w:rPr>
          <w:rFonts w:asciiTheme="minorHAnsi" w:hAnsiTheme="minorHAnsi"/>
        </w:rPr>
        <w:t>,</w:t>
      </w:r>
      <w:r w:rsidRPr="000B5E01">
        <w:rPr>
          <w:rFonts w:asciiTheme="minorHAnsi" w:hAnsiTheme="minorHAnsi"/>
        </w:rPr>
        <w:t xml:space="preserve"> y en orden decreciente se encuentran los gastos en Bienes de Consumo y Servicios (</w:t>
      </w:r>
      <w:r w:rsidR="000B5E01" w:rsidRPr="000B5E01">
        <w:rPr>
          <w:rFonts w:asciiTheme="minorHAnsi" w:hAnsiTheme="minorHAnsi"/>
        </w:rPr>
        <w:t>6,4</w:t>
      </w:r>
      <w:r w:rsidR="00970FFD">
        <w:rPr>
          <w:rFonts w:asciiTheme="minorHAnsi" w:hAnsiTheme="minorHAnsi"/>
        </w:rPr>
        <w:t>%</w:t>
      </w:r>
      <w:r w:rsidRPr="000B5E01">
        <w:rPr>
          <w:rFonts w:asciiTheme="minorHAnsi" w:hAnsiTheme="minorHAnsi"/>
        </w:rPr>
        <w:t xml:space="preserve"> en conjunto) y la Inversión Real Directa (</w:t>
      </w:r>
      <w:r w:rsidR="000B5E01" w:rsidRPr="000B5E01">
        <w:rPr>
          <w:rFonts w:asciiTheme="minorHAnsi" w:hAnsiTheme="minorHAnsi"/>
        </w:rPr>
        <w:t>3,4</w:t>
      </w:r>
      <w:r w:rsidR="00970FFD">
        <w:rPr>
          <w:rFonts w:asciiTheme="minorHAnsi" w:hAnsiTheme="minorHAnsi"/>
        </w:rPr>
        <w:t>%</w:t>
      </w:r>
      <w:r w:rsidRPr="000B5E01">
        <w:rPr>
          <w:rFonts w:asciiTheme="minorHAnsi" w:hAnsiTheme="minorHAnsi"/>
        </w:rPr>
        <w:t xml:space="preserve">), distribuyéndose </w:t>
      </w:r>
      <w:r w:rsidR="000B5E01" w:rsidRPr="000B5E01">
        <w:rPr>
          <w:rFonts w:asciiTheme="minorHAnsi" w:hAnsiTheme="minorHAnsi"/>
        </w:rPr>
        <w:t>6</w:t>
      </w:r>
      <w:r w:rsidRPr="000B5E01">
        <w:rPr>
          <w:rFonts w:asciiTheme="minorHAnsi" w:hAnsiTheme="minorHAnsi"/>
        </w:rPr>
        <w:t>,</w:t>
      </w:r>
      <w:r w:rsidR="00E81643">
        <w:rPr>
          <w:rFonts w:asciiTheme="minorHAnsi" w:hAnsiTheme="minorHAnsi"/>
        </w:rPr>
        <w:t>2</w:t>
      </w:r>
      <w:r w:rsidR="00970FFD">
        <w:rPr>
          <w:rFonts w:asciiTheme="minorHAnsi" w:hAnsiTheme="minorHAnsi"/>
        </w:rPr>
        <w:t>%</w:t>
      </w:r>
      <w:r w:rsidRPr="000B5E01">
        <w:rPr>
          <w:rFonts w:asciiTheme="minorHAnsi" w:hAnsiTheme="minorHAnsi"/>
        </w:rPr>
        <w:t xml:space="preserve"> restante entre Rentas de la Propiedad, Transferencias de Capital e Inversión Financiera.</w:t>
      </w:r>
    </w:p>
    <w:p w:rsidR="00DE65F9" w:rsidRDefault="00DE65F9" w:rsidP="00DE65F9">
      <w:pPr>
        <w:suppressAutoHyphens/>
        <w:jc w:val="both"/>
        <w:rPr>
          <w:rFonts w:asciiTheme="minorHAnsi" w:hAnsiTheme="minorHAnsi"/>
        </w:rPr>
      </w:pPr>
    </w:p>
    <w:p w:rsidR="00D81103" w:rsidRDefault="00D81103" w:rsidP="00D81103">
      <w:pPr>
        <w:suppressAutoHyphens/>
        <w:jc w:val="center"/>
        <w:rPr>
          <w:rFonts w:asciiTheme="minorHAnsi" w:hAnsiTheme="minorHAnsi" w:cs="Arial"/>
        </w:rPr>
      </w:pPr>
      <w:r w:rsidRPr="00590089">
        <w:rPr>
          <w:rFonts w:asciiTheme="minorHAnsi" w:hAnsiTheme="minorHAnsi" w:cs="Arial"/>
          <w:b/>
        </w:rPr>
        <w:t xml:space="preserve">Gráfico </w:t>
      </w:r>
      <w:r>
        <w:rPr>
          <w:rFonts w:asciiTheme="minorHAnsi" w:hAnsiTheme="minorHAnsi" w:cs="Arial"/>
          <w:b/>
        </w:rPr>
        <w:t>3</w:t>
      </w:r>
      <w:r w:rsidRPr="00590089">
        <w:rPr>
          <w:rFonts w:asciiTheme="minorHAnsi" w:hAnsiTheme="minorHAnsi" w:cs="Arial"/>
          <w:b/>
        </w:rPr>
        <w:t>.</w:t>
      </w:r>
      <w:r>
        <w:rPr>
          <w:rFonts w:asciiTheme="minorHAnsi" w:hAnsiTheme="minorHAnsi" w:cs="Arial"/>
        </w:rPr>
        <w:t xml:space="preserve"> Estructura porcentual de los gastos</w:t>
      </w:r>
    </w:p>
    <w:p w:rsidR="00D81103" w:rsidRPr="002061F8" w:rsidRDefault="00D81103" w:rsidP="00D81103">
      <w:pPr>
        <w:suppressAutoHyphens/>
        <w:spacing w:after="120"/>
        <w:jc w:val="center"/>
        <w:rPr>
          <w:rFonts w:asciiTheme="minorHAnsi" w:hAnsiTheme="minorHAnsi" w:cs="Arial"/>
        </w:rPr>
      </w:pPr>
      <w:r>
        <w:rPr>
          <w:rFonts w:asciiTheme="minorHAnsi" w:hAnsiTheme="minorHAnsi" w:cs="Arial"/>
        </w:rPr>
        <w:t>I Trimestre 20</w:t>
      </w:r>
      <w:r w:rsidR="008828A1">
        <w:rPr>
          <w:rFonts w:asciiTheme="minorHAnsi" w:hAnsiTheme="minorHAnsi" w:cs="Arial"/>
        </w:rPr>
        <w:t>20</w:t>
      </w:r>
    </w:p>
    <w:p w:rsidR="00D81103" w:rsidRDefault="002647C9" w:rsidP="00D81103">
      <w:pPr>
        <w:suppressAutoHyphens/>
        <w:jc w:val="center"/>
        <w:rPr>
          <w:rFonts w:ascii="Calibri" w:hAnsi="Calibri"/>
          <w:sz w:val="20"/>
          <w:szCs w:val="20"/>
        </w:rPr>
      </w:pPr>
      <w:r>
        <w:rPr>
          <w:rFonts w:ascii="Calibri" w:hAnsi="Calibri"/>
          <w:noProof/>
          <w:sz w:val="20"/>
          <w:szCs w:val="20"/>
          <w:lang w:val="es-AR" w:eastAsia="es-AR"/>
        </w:rPr>
        <w:drawing>
          <wp:inline distT="0" distB="0" distL="0" distR="0" wp14:anchorId="3C94793F">
            <wp:extent cx="5349600" cy="3420000"/>
            <wp:effectExtent l="19050" t="19050" r="22860" b="2857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9600" cy="3420000"/>
                    </a:xfrm>
                    <a:prstGeom prst="rect">
                      <a:avLst/>
                    </a:prstGeom>
                    <a:noFill/>
                    <a:ln w="15875">
                      <a:solidFill>
                        <a:schemeClr val="tx1"/>
                      </a:solidFill>
                    </a:ln>
                  </pic:spPr>
                </pic:pic>
              </a:graphicData>
            </a:graphic>
          </wp:inline>
        </w:drawing>
      </w:r>
    </w:p>
    <w:p w:rsidR="00D81103" w:rsidRPr="00DB5695" w:rsidRDefault="00D81103" w:rsidP="00D81103">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D81103" w:rsidRDefault="00D81103" w:rsidP="00D81103">
      <w:pPr>
        <w:suppressAutoHyphens/>
        <w:jc w:val="both"/>
        <w:rPr>
          <w:rFonts w:asciiTheme="minorHAnsi" w:hAnsiTheme="minorHAnsi"/>
        </w:rPr>
      </w:pPr>
    </w:p>
    <w:p w:rsidR="00E00E75" w:rsidRDefault="00E00E75" w:rsidP="00D81103">
      <w:pPr>
        <w:suppressAutoHyphens/>
        <w:jc w:val="both"/>
        <w:rPr>
          <w:rFonts w:asciiTheme="minorHAnsi" w:hAnsiTheme="minorHAnsi"/>
        </w:rPr>
      </w:pPr>
    </w:p>
    <w:p w:rsidR="00E00E75" w:rsidRDefault="00E00E75">
      <w:pPr>
        <w:rPr>
          <w:rFonts w:asciiTheme="minorHAnsi" w:hAnsiTheme="minorHAnsi"/>
        </w:rPr>
      </w:pPr>
      <w:bookmarkStart w:id="28" w:name="_Toc456279050"/>
      <w:bookmarkStart w:id="29" w:name="_Toc500246800"/>
      <w:bookmarkStart w:id="30" w:name="_Toc532574491"/>
      <w:bookmarkStart w:id="31" w:name="_Toc532575881"/>
      <w:bookmarkStart w:id="32" w:name="_Toc532575908"/>
      <w:bookmarkStart w:id="33" w:name="_Toc532575988"/>
      <w:bookmarkStart w:id="34" w:name="_Toc532577653"/>
      <w:bookmarkStart w:id="35" w:name="_Toc532577772"/>
      <w:bookmarkStart w:id="36" w:name="_Toc532577964"/>
      <w:bookmarkStart w:id="37" w:name="_Toc3367374"/>
      <w:r>
        <w:rPr>
          <w:rFonts w:asciiTheme="minorHAnsi" w:hAnsiTheme="minorHAnsi"/>
          <w:b/>
        </w:rPr>
        <w:br w:type="page"/>
      </w:r>
    </w:p>
    <w:p w:rsidR="003064F7" w:rsidRPr="0053209D" w:rsidRDefault="00B61E6C" w:rsidP="006F4161">
      <w:pPr>
        <w:pStyle w:val="TDC3"/>
      </w:pPr>
      <w:r>
        <w:t>4</w:t>
      </w:r>
      <w:r w:rsidR="003A39FE">
        <w:t>.2.</w:t>
      </w:r>
      <w:r w:rsidR="0053209D">
        <w:t xml:space="preserve"> </w:t>
      </w:r>
      <w:r w:rsidR="003064F7" w:rsidRPr="0053209D">
        <w:t xml:space="preserve">Análisis del Gasto </w:t>
      </w:r>
      <w:r w:rsidR="007F4131">
        <w:t xml:space="preserve">según </w:t>
      </w:r>
      <w:r w:rsidR="003064F7" w:rsidRPr="0053209D">
        <w:t>Clasifica</w:t>
      </w:r>
      <w:r w:rsidR="007F4131">
        <w:t>ción</w:t>
      </w:r>
      <w:r w:rsidR="003064F7" w:rsidRPr="0053209D">
        <w:t xml:space="preserve"> por Finalidad y Función</w:t>
      </w:r>
      <w:bookmarkEnd w:id="28"/>
      <w:bookmarkEnd w:id="29"/>
      <w:bookmarkEnd w:id="30"/>
      <w:bookmarkEnd w:id="31"/>
      <w:bookmarkEnd w:id="32"/>
      <w:bookmarkEnd w:id="33"/>
      <w:bookmarkEnd w:id="34"/>
      <w:bookmarkEnd w:id="35"/>
      <w:bookmarkEnd w:id="36"/>
      <w:bookmarkEnd w:id="37"/>
    </w:p>
    <w:p w:rsidR="009C6738" w:rsidRPr="00696972" w:rsidRDefault="009C6738" w:rsidP="00696972">
      <w:pPr>
        <w:suppressAutoHyphens/>
        <w:jc w:val="both"/>
        <w:rPr>
          <w:rFonts w:asciiTheme="minorHAnsi" w:hAnsiTheme="minorHAnsi"/>
        </w:rPr>
      </w:pPr>
    </w:p>
    <w:p w:rsidR="0071731F" w:rsidRDefault="004D39AC" w:rsidP="004D39AC">
      <w:pPr>
        <w:suppressAutoHyphens/>
        <w:jc w:val="both"/>
        <w:rPr>
          <w:rFonts w:asciiTheme="minorHAnsi" w:hAnsiTheme="minorHAnsi"/>
        </w:rPr>
      </w:pPr>
      <w:r w:rsidRPr="000B5E01">
        <w:rPr>
          <w:rFonts w:asciiTheme="minorHAnsi" w:hAnsiTheme="minorHAnsi"/>
        </w:rPr>
        <w:t xml:space="preserve">En cuanto a la evolución del gasto </w:t>
      </w:r>
      <w:r w:rsidR="00F416E7" w:rsidRPr="000B5E01">
        <w:rPr>
          <w:rFonts w:asciiTheme="minorHAnsi" w:hAnsiTheme="minorHAnsi"/>
        </w:rPr>
        <w:t xml:space="preserve">según su </w:t>
      </w:r>
      <w:r w:rsidR="00D4244F" w:rsidRPr="000B5E01">
        <w:rPr>
          <w:rFonts w:asciiTheme="minorHAnsi" w:hAnsiTheme="minorHAnsi"/>
        </w:rPr>
        <w:t xml:space="preserve">clasificación por </w:t>
      </w:r>
      <w:r w:rsidR="00F416E7" w:rsidRPr="000B5E01">
        <w:rPr>
          <w:rFonts w:asciiTheme="minorHAnsi" w:hAnsiTheme="minorHAnsi"/>
        </w:rPr>
        <w:t xml:space="preserve">Finalidad y Función </w:t>
      </w:r>
      <w:r w:rsidRPr="000B5E01">
        <w:rPr>
          <w:rFonts w:asciiTheme="minorHAnsi" w:hAnsiTheme="minorHAnsi"/>
        </w:rPr>
        <w:t xml:space="preserve">se destaca </w:t>
      </w:r>
      <w:r w:rsidR="006331D7" w:rsidRPr="000B5E01">
        <w:rPr>
          <w:rFonts w:asciiTheme="minorHAnsi" w:hAnsiTheme="minorHAnsi"/>
        </w:rPr>
        <w:t xml:space="preserve">por su magnitud </w:t>
      </w:r>
      <w:r w:rsidR="00EC2D9D" w:rsidRPr="000B5E01">
        <w:rPr>
          <w:rFonts w:asciiTheme="minorHAnsi" w:hAnsiTheme="minorHAnsi"/>
        </w:rPr>
        <w:t xml:space="preserve">la partida </w:t>
      </w:r>
      <w:r w:rsidRPr="000B5E01">
        <w:rPr>
          <w:rFonts w:asciiTheme="minorHAnsi" w:hAnsiTheme="minorHAnsi"/>
        </w:rPr>
        <w:t xml:space="preserve">Servicios Sociales, </w:t>
      </w:r>
      <w:r w:rsidR="00EC2D9D" w:rsidRPr="000B5E01">
        <w:rPr>
          <w:rFonts w:asciiTheme="minorHAnsi" w:hAnsiTheme="minorHAnsi"/>
        </w:rPr>
        <w:t>que</w:t>
      </w:r>
      <w:r w:rsidRPr="000B5E01">
        <w:rPr>
          <w:rFonts w:asciiTheme="minorHAnsi" w:hAnsiTheme="minorHAnsi"/>
        </w:rPr>
        <w:t xml:space="preserve"> se</w:t>
      </w:r>
      <w:r w:rsidR="00957404" w:rsidRPr="000B5E01">
        <w:rPr>
          <w:rFonts w:asciiTheme="minorHAnsi" w:hAnsiTheme="minorHAnsi"/>
        </w:rPr>
        <w:t xml:space="preserve"> </w:t>
      </w:r>
      <w:r w:rsidRPr="000B5E01">
        <w:rPr>
          <w:rFonts w:asciiTheme="minorHAnsi" w:hAnsiTheme="minorHAnsi"/>
        </w:rPr>
        <w:t>increment</w:t>
      </w:r>
      <w:r w:rsidR="00EC2D9D" w:rsidRPr="000B5E01">
        <w:rPr>
          <w:rFonts w:asciiTheme="minorHAnsi" w:hAnsiTheme="minorHAnsi"/>
        </w:rPr>
        <w:t>ó</w:t>
      </w:r>
      <w:r w:rsidRPr="000B5E01">
        <w:rPr>
          <w:rFonts w:asciiTheme="minorHAnsi" w:hAnsiTheme="minorHAnsi"/>
        </w:rPr>
        <w:t xml:space="preserve"> </w:t>
      </w:r>
      <w:r w:rsidR="00030B5B" w:rsidRPr="000B5E01">
        <w:rPr>
          <w:rFonts w:asciiTheme="minorHAnsi" w:hAnsiTheme="minorHAnsi"/>
        </w:rPr>
        <w:t>4</w:t>
      </w:r>
      <w:r w:rsidR="000B5E01" w:rsidRPr="000B5E01">
        <w:rPr>
          <w:rFonts w:asciiTheme="minorHAnsi" w:hAnsiTheme="minorHAnsi"/>
        </w:rPr>
        <w:t>1</w:t>
      </w:r>
      <w:r w:rsidR="00030B5B" w:rsidRPr="000B5E01">
        <w:rPr>
          <w:rFonts w:asciiTheme="minorHAnsi" w:hAnsiTheme="minorHAnsi"/>
        </w:rPr>
        <w:t>,3</w:t>
      </w:r>
      <w:r w:rsidR="00970FFD">
        <w:rPr>
          <w:rFonts w:asciiTheme="minorHAnsi" w:hAnsiTheme="minorHAnsi"/>
        </w:rPr>
        <w:t>%</w:t>
      </w:r>
      <w:r w:rsidRPr="000B5E01">
        <w:rPr>
          <w:rFonts w:asciiTheme="minorHAnsi" w:hAnsiTheme="minorHAnsi"/>
        </w:rPr>
        <w:t xml:space="preserve"> </w:t>
      </w:r>
      <w:r w:rsidR="00DC0DFF" w:rsidRPr="000B5E01">
        <w:rPr>
          <w:rFonts w:asciiTheme="minorHAnsi" w:hAnsiTheme="minorHAnsi"/>
        </w:rPr>
        <w:t xml:space="preserve">al </w:t>
      </w:r>
      <w:r w:rsidR="00C73C7A" w:rsidRPr="000B5E01">
        <w:rPr>
          <w:rFonts w:asciiTheme="minorHAnsi" w:hAnsiTheme="minorHAnsi"/>
        </w:rPr>
        <w:t>primer</w:t>
      </w:r>
      <w:r w:rsidR="00CE08E7" w:rsidRPr="000B5E01">
        <w:rPr>
          <w:rFonts w:asciiTheme="minorHAnsi" w:hAnsiTheme="minorHAnsi"/>
        </w:rPr>
        <w:t xml:space="preserve"> </w:t>
      </w:r>
      <w:r w:rsidR="00DC0DFF" w:rsidRPr="000B5E01">
        <w:rPr>
          <w:rFonts w:asciiTheme="minorHAnsi" w:hAnsiTheme="minorHAnsi"/>
        </w:rPr>
        <w:t>tri</w:t>
      </w:r>
      <w:r w:rsidR="00CE08E7" w:rsidRPr="000B5E01">
        <w:rPr>
          <w:rFonts w:asciiTheme="minorHAnsi" w:hAnsiTheme="minorHAnsi"/>
        </w:rPr>
        <w:t>mestre</w:t>
      </w:r>
      <w:r w:rsidR="006331D7" w:rsidRPr="000B5E01">
        <w:rPr>
          <w:rFonts w:asciiTheme="minorHAnsi" w:hAnsiTheme="minorHAnsi"/>
        </w:rPr>
        <w:t xml:space="preserve"> de</w:t>
      </w:r>
      <w:r w:rsidR="00CE08E7" w:rsidRPr="000B5E01">
        <w:rPr>
          <w:rFonts w:asciiTheme="minorHAnsi" w:hAnsiTheme="minorHAnsi"/>
        </w:rPr>
        <w:t xml:space="preserve"> 20</w:t>
      </w:r>
      <w:r w:rsidR="000B5E01" w:rsidRPr="000B5E01">
        <w:rPr>
          <w:rFonts w:asciiTheme="minorHAnsi" w:hAnsiTheme="minorHAnsi"/>
        </w:rPr>
        <w:t>20</w:t>
      </w:r>
      <w:r w:rsidR="00CE08E7" w:rsidRPr="000B5E01">
        <w:rPr>
          <w:rFonts w:asciiTheme="minorHAnsi" w:hAnsiTheme="minorHAnsi"/>
        </w:rPr>
        <w:t xml:space="preserve"> </w:t>
      </w:r>
      <w:r w:rsidRPr="000B5E01">
        <w:rPr>
          <w:rFonts w:asciiTheme="minorHAnsi" w:hAnsiTheme="minorHAnsi"/>
        </w:rPr>
        <w:t>respecto a</w:t>
      </w:r>
      <w:r w:rsidR="00CE08E7" w:rsidRPr="000B5E01">
        <w:rPr>
          <w:rFonts w:asciiTheme="minorHAnsi" w:hAnsiTheme="minorHAnsi"/>
        </w:rPr>
        <w:t xml:space="preserve"> igual</w:t>
      </w:r>
      <w:r w:rsidRPr="000B5E01">
        <w:rPr>
          <w:rFonts w:asciiTheme="minorHAnsi" w:hAnsiTheme="minorHAnsi"/>
        </w:rPr>
        <w:t xml:space="preserve"> </w:t>
      </w:r>
      <w:r w:rsidR="00CE08E7" w:rsidRPr="000B5E01">
        <w:rPr>
          <w:rFonts w:asciiTheme="minorHAnsi" w:hAnsiTheme="minorHAnsi"/>
        </w:rPr>
        <w:t xml:space="preserve">período </w:t>
      </w:r>
      <w:r w:rsidR="006331D7" w:rsidRPr="000B5E01">
        <w:rPr>
          <w:rFonts w:asciiTheme="minorHAnsi" w:hAnsiTheme="minorHAnsi"/>
        </w:rPr>
        <w:t>del año anterior</w:t>
      </w:r>
      <w:r w:rsidR="00FE5BE5" w:rsidRPr="000B5E01">
        <w:rPr>
          <w:rFonts w:asciiTheme="minorHAnsi" w:hAnsiTheme="minorHAnsi"/>
        </w:rPr>
        <w:t xml:space="preserve"> y </w:t>
      </w:r>
      <w:r w:rsidR="000B5E01" w:rsidRPr="000B5E01">
        <w:rPr>
          <w:rFonts w:asciiTheme="minorHAnsi" w:hAnsiTheme="minorHAnsi"/>
        </w:rPr>
        <w:t>explicó</w:t>
      </w:r>
      <w:r w:rsidR="00FE5BE5" w:rsidRPr="000B5E01">
        <w:rPr>
          <w:rFonts w:asciiTheme="minorHAnsi" w:hAnsiTheme="minorHAnsi"/>
        </w:rPr>
        <w:t xml:space="preserve"> </w:t>
      </w:r>
      <w:r w:rsidR="000B5E01" w:rsidRPr="000B5E01">
        <w:rPr>
          <w:rFonts w:asciiTheme="minorHAnsi" w:hAnsiTheme="minorHAnsi"/>
        </w:rPr>
        <w:t>63,2</w:t>
      </w:r>
      <w:r w:rsidR="00970FFD">
        <w:rPr>
          <w:rFonts w:asciiTheme="minorHAnsi" w:hAnsiTheme="minorHAnsi"/>
        </w:rPr>
        <w:t>%</w:t>
      </w:r>
      <w:r w:rsidR="00FE5BE5" w:rsidRPr="000B5E01">
        <w:rPr>
          <w:rFonts w:asciiTheme="minorHAnsi" w:hAnsiTheme="minorHAnsi"/>
        </w:rPr>
        <w:t xml:space="preserve"> </w:t>
      </w:r>
      <w:r w:rsidR="000B5E01" w:rsidRPr="000B5E01">
        <w:rPr>
          <w:rFonts w:asciiTheme="minorHAnsi" w:hAnsiTheme="minorHAnsi"/>
        </w:rPr>
        <w:t>del incremento de los</w:t>
      </w:r>
      <w:r w:rsidR="00FE5BE5" w:rsidRPr="000B5E01">
        <w:rPr>
          <w:rFonts w:asciiTheme="minorHAnsi" w:hAnsiTheme="minorHAnsi"/>
        </w:rPr>
        <w:t xml:space="preserve"> egresos</w:t>
      </w:r>
      <w:r w:rsidRPr="000B5E01">
        <w:rPr>
          <w:rFonts w:asciiTheme="minorHAnsi" w:hAnsiTheme="minorHAnsi"/>
        </w:rPr>
        <w:t xml:space="preserve">. La </w:t>
      </w:r>
      <w:r w:rsidR="0048694F" w:rsidRPr="000B5E01">
        <w:rPr>
          <w:rFonts w:asciiTheme="minorHAnsi" w:hAnsiTheme="minorHAnsi"/>
        </w:rPr>
        <w:t xml:space="preserve">desagregación </w:t>
      </w:r>
      <w:r w:rsidRPr="000B5E01">
        <w:rPr>
          <w:rFonts w:asciiTheme="minorHAnsi" w:hAnsiTheme="minorHAnsi"/>
        </w:rPr>
        <w:t xml:space="preserve">de dicha finalidad </w:t>
      </w:r>
      <w:r w:rsidR="00192122" w:rsidRPr="000B5E01">
        <w:rPr>
          <w:rFonts w:asciiTheme="minorHAnsi" w:hAnsiTheme="minorHAnsi"/>
        </w:rPr>
        <w:t xml:space="preserve">(Cuadro 4) </w:t>
      </w:r>
      <w:r w:rsidR="0048694F" w:rsidRPr="000B5E01">
        <w:rPr>
          <w:rFonts w:asciiTheme="minorHAnsi" w:hAnsiTheme="minorHAnsi"/>
        </w:rPr>
        <w:t xml:space="preserve">muestra </w:t>
      </w:r>
      <w:r w:rsidR="00EC2D9D" w:rsidRPr="000B5E01">
        <w:rPr>
          <w:rFonts w:asciiTheme="minorHAnsi" w:hAnsiTheme="minorHAnsi"/>
        </w:rPr>
        <w:t xml:space="preserve">la importancia en </w:t>
      </w:r>
      <w:r w:rsidR="000B5E01" w:rsidRPr="000B5E01">
        <w:rPr>
          <w:rFonts w:asciiTheme="minorHAnsi" w:hAnsiTheme="minorHAnsi"/>
        </w:rPr>
        <w:t>términos de</w:t>
      </w:r>
      <w:r w:rsidR="00EC2D9D" w:rsidRPr="000B5E01">
        <w:rPr>
          <w:rFonts w:asciiTheme="minorHAnsi" w:hAnsiTheme="minorHAnsi"/>
        </w:rPr>
        <w:t xml:space="preserve"> </w:t>
      </w:r>
      <w:r w:rsidR="006331D7" w:rsidRPr="000B5E01">
        <w:rPr>
          <w:rFonts w:asciiTheme="minorHAnsi" w:hAnsiTheme="minorHAnsi"/>
        </w:rPr>
        <w:t>magnitudes absolutas</w:t>
      </w:r>
      <w:r w:rsidRPr="000B5E01">
        <w:rPr>
          <w:rFonts w:asciiTheme="minorHAnsi" w:hAnsiTheme="minorHAnsi"/>
        </w:rPr>
        <w:t xml:space="preserve"> de</w:t>
      </w:r>
      <w:r w:rsidR="006331D7" w:rsidRPr="000B5E01">
        <w:rPr>
          <w:rFonts w:asciiTheme="minorHAnsi" w:hAnsiTheme="minorHAnsi"/>
        </w:rPr>
        <w:t xml:space="preserve"> las funciones Educación</w:t>
      </w:r>
      <w:r w:rsidR="00EC2D9D" w:rsidRPr="000B5E01">
        <w:rPr>
          <w:rFonts w:asciiTheme="minorHAnsi" w:hAnsiTheme="minorHAnsi"/>
        </w:rPr>
        <w:t xml:space="preserve"> y </w:t>
      </w:r>
      <w:r w:rsidR="00511BCB" w:rsidRPr="000B5E01">
        <w:rPr>
          <w:rFonts w:asciiTheme="minorHAnsi" w:hAnsiTheme="minorHAnsi"/>
        </w:rPr>
        <w:t>C</w:t>
      </w:r>
      <w:r w:rsidR="00EC2D9D" w:rsidRPr="000B5E01">
        <w:rPr>
          <w:rFonts w:asciiTheme="minorHAnsi" w:hAnsiTheme="minorHAnsi"/>
        </w:rPr>
        <w:t>ultura</w:t>
      </w:r>
      <w:r w:rsidR="006331D7" w:rsidRPr="000B5E01">
        <w:rPr>
          <w:rFonts w:asciiTheme="minorHAnsi" w:hAnsiTheme="minorHAnsi"/>
        </w:rPr>
        <w:t xml:space="preserve"> y </w:t>
      </w:r>
      <w:r w:rsidR="00C73C7A" w:rsidRPr="000B5E01">
        <w:rPr>
          <w:rFonts w:asciiTheme="minorHAnsi" w:hAnsiTheme="minorHAnsi"/>
        </w:rPr>
        <w:t xml:space="preserve">Seguridad </w:t>
      </w:r>
      <w:r w:rsidR="006331D7" w:rsidRPr="000B5E01">
        <w:rPr>
          <w:rFonts w:asciiTheme="minorHAnsi" w:hAnsiTheme="minorHAnsi"/>
        </w:rPr>
        <w:t>S</w:t>
      </w:r>
      <w:r w:rsidR="00C73C7A" w:rsidRPr="000B5E01">
        <w:rPr>
          <w:rFonts w:asciiTheme="minorHAnsi" w:hAnsiTheme="minorHAnsi"/>
        </w:rPr>
        <w:t>ocial</w:t>
      </w:r>
      <w:r w:rsidRPr="000B5E01">
        <w:rPr>
          <w:rFonts w:asciiTheme="minorHAnsi" w:hAnsiTheme="minorHAnsi"/>
        </w:rPr>
        <w:t xml:space="preserve">, </w:t>
      </w:r>
      <w:r w:rsidR="00760C2D" w:rsidRPr="000B5E01">
        <w:rPr>
          <w:rFonts w:asciiTheme="minorHAnsi" w:hAnsiTheme="minorHAnsi"/>
        </w:rPr>
        <w:t>con un incremento</w:t>
      </w:r>
      <w:r w:rsidRPr="000B5E01">
        <w:rPr>
          <w:rFonts w:asciiTheme="minorHAnsi" w:hAnsiTheme="minorHAnsi"/>
        </w:rPr>
        <w:t xml:space="preserve"> interanu</w:t>
      </w:r>
      <w:r w:rsidR="00760C2D" w:rsidRPr="000B5E01">
        <w:rPr>
          <w:rFonts w:asciiTheme="minorHAnsi" w:hAnsiTheme="minorHAnsi"/>
        </w:rPr>
        <w:t>al</w:t>
      </w:r>
      <w:r w:rsidRPr="000B5E01">
        <w:rPr>
          <w:rFonts w:asciiTheme="minorHAnsi" w:hAnsiTheme="minorHAnsi"/>
        </w:rPr>
        <w:t xml:space="preserve"> de </w:t>
      </w:r>
      <w:r w:rsidR="000B5E01" w:rsidRPr="000B5E01">
        <w:rPr>
          <w:rFonts w:asciiTheme="minorHAnsi" w:hAnsiTheme="minorHAnsi"/>
        </w:rPr>
        <w:t>37,9</w:t>
      </w:r>
      <w:r w:rsidR="00970FFD">
        <w:rPr>
          <w:rFonts w:asciiTheme="minorHAnsi" w:hAnsiTheme="minorHAnsi"/>
        </w:rPr>
        <w:t>%</w:t>
      </w:r>
      <w:r w:rsidR="006331D7" w:rsidRPr="000B5E01">
        <w:rPr>
          <w:rFonts w:asciiTheme="minorHAnsi" w:hAnsiTheme="minorHAnsi"/>
        </w:rPr>
        <w:t xml:space="preserve"> y </w:t>
      </w:r>
      <w:r w:rsidR="000B5E01" w:rsidRPr="000B5E01">
        <w:rPr>
          <w:rFonts w:asciiTheme="minorHAnsi" w:hAnsiTheme="minorHAnsi"/>
        </w:rPr>
        <w:t>56,2</w:t>
      </w:r>
      <w:r w:rsidR="00970FFD">
        <w:rPr>
          <w:rFonts w:asciiTheme="minorHAnsi" w:hAnsiTheme="minorHAnsi"/>
        </w:rPr>
        <w:t>%</w:t>
      </w:r>
      <w:r w:rsidR="006331D7" w:rsidRPr="000B5E01">
        <w:rPr>
          <w:rFonts w:asciiTheme="minorHAnsi" w:hAnsiTheme="minorHAnsi"/>
        </w:rPr>
        <w:t>, respectivamente</w:t>
      </w:r>
      <w:r w:rsidR="00F416E7" w:rsidRPr="000B5E01">
        <w:rPr>
          <w:rFonts w:asciiTheme="minorHAnsi" w:hAnsiTheme="minorHAnsi"/>
        </w:rPr>
        <w:t>.</w:t>
      </w:r>
      <w:r w:rsidR="00FE5BE5" w:rsidRPr="000B5E01">
        <w:rPr>
          <w:rFonts w:asciiTheme="minorHAnsi" w:hAnsiTheme="minorHAnsi"/>
        </w:rPr>
        <w:t xml:space="preserve"> Esta última función tiene un comportamiento similar a las mejoras salariales otorgadas, dado el régimen de movilidad jubilatoria de los haberes de los pasivos y de los beneficiarios de pensiones en aquellas Provincias que no transfirieron el sistema previsional, conjuntamente con algunos beneficios específicos otorgados a la clase pasiva</w:t>
      </w:r>
      <w:r w:rsidR="00FE5BE5" w:rsidRPr="000B5E01">
        <w:rPr>
          <w:rStyle w:val="Refdenotaalpie"/>
          <w:rFonts w:asciiTheme="minorHAnsi" w:hAnsiTheme="minorHAnsi"/>
        </w:rPr>
        <w:footnoteReference w:id="7"/>
      </w:r>
      <w:r w:rsidR="00FE5BE5" w:rsidRPr="000B5E01">
        <w:rPr>
          <w:rFonts w:asciiTheme="minorHAnsi" w:hAnsiTheme="minorHAnsi"/>
        </w:rPr>
        <w:t>.</w:t>
      </w:r>
    </w:p>
    <w:p w:rsidR="00192122" w:rsidRPr="00192122" w:rsidRDefault="00192122" w:rsidP="004D39AC">
      <w:pPr>
        <w:suppressAutoHyphens/>
        <w:jc w:val="both"/>
        <w:rPr>
          <w:rFonts w:asciiTheme="minorHAnsi" w:hAnsiTheme="minorHAnsi"/>
        </w:rPr>
      </w:pPr>
    </w:p>
    <w:p w:rsidR="000B5E01" w:rsidRPr="000B5E01" w:rsidRDefault="000B5E01" w:rsidP="000B5E01">
      <w:pPr>
        <w:suppressAutoHyphens/>
        <w:jc w:val="both"/>
        <w:rPr>
          <w:rFonts w:asciiTheme="minorHAnsi" w:hAnsiTheme="minorHAnsi"/>
        </w:rPr>
      </w:pPr>
      <w:r w:rsidRPr="000B5E01">
        <w:rPr>
          <w:rFonts w:asciiTheme="minorHAnsi" w:hAnsiTheme="minorHAnsi"/>
        </w:rPr>
        <w:t>El comportamiento de las funciones de Salud y Educación refleja una dinámica similar a la evolución de los aumentos salariales y se explica porque ambos servicios son intensivos en el empleo de la fuerza laboral. Igual consideración corresponde para el incremento de Servicios de Seguridad (37,8</w:t>
      </w:r>
      <w:r w:rsidR="00970FFD">
        <w:rPr>
          <w:rFonts w:asciiTheme="minorHAnsi" w:hAnsiTheme="minorHAnsi"/>
        </w:rPr>
        <w:t>%</w:t>
      </w:r>
      <w:r w:rsidRPr="000B5E01">
        <w:rPr>
          <w:rFonts w:asciiTheme="minorHAnsi" w:hAnsiTheme="minorHAnsi"/>
        </w:rPr>
        <w:t>).</w:t>
      </w:r>
      <w:r w:rsidR="00836BE2">
        <w:rPr>
          <w:rFonts w:asciiTheme="minorHAnsi" w:hAnsiTheme="minorHAnsi"/>
        </w:rPr>
        <w:t xml:space="preserve"> </w:t>
      </w:r>
      <w:r w:rsidR="00E81643">
        <w:rPr>
          <w:rFonts w:asciiTheme="minorHAnsi" w:hAnsiTheme="minorHAnsi"/>
        </w:rPr>
        <w:t xml:space="preserve">Por su parte, el notable incremento en la función </w:t>
      </w:r>
      <w:r w:rsidR="00836BE2">
        <w:rPr>
          <w:rFonts w:asciiTheme="minorHAnsi" w:hAnsiTheme="minorHAnsi"/>
        </w:rPr>
        <w:t xml:space="preserve">Promoción </w:t>
      </w:r>
      <w:r w:rsidR="00E81643">
        <w:rPr>
          <w:rFonts w:asciiTheme="minorHAnsi" w:hAnsiTheme="minorHAnsi"/>
        </w:rPr>
        <w:t>y Asistencia Social (73,3</w:t>
      </w:r>
      <w:r w:rsidR="00970FFD">
        <w:rPr>
          <w:rFonts w:asciiTheme="minorHAnsi" w:hAnsiTheme="minorHAnsi"/>
        </w:rPr>
        <w:t>%</w:t>
      </w:r>
      <w:r w:rsidR="00E81643">
        <w:rPr>
          <w:rFonts w:asciiTheme="minorHAnsi" w:hAnsiTheme="minorHAnsi"/>
        </w:rPr>
        <w:t xml:space="preserve">) </w:t>
      </w:r>
      <w:r w:rsidR="00C32492">
        <w:rPr>
          <w:rFonts w:asciiTheme="minorHAnsi" w:hAnsiTheme="minorHAnsi"/>
        </w:rPr>
        <w:t>muestra mayores niveles de ejecución de las partidas de asistencia alimentaria y promoción y apoyo al empleo en el marco de la emergen</w:t>
      </w:r>
      <w:r w:rsidR="00E00E75">
        <w:rPr>
          <w:rFonts w:asciiTheme="minorHAnsi" w:hAnsiTheme="minorHAnsi"/>
        </w:rPr>
        <w:t>cia</w:t>
      </w:r>
      <w:r w:rsidR="00C32492">
        <w:rPr>
          <w:rFonts w:asciiTheme="minorHAnsi" w:hAnsiTheme="minorHAnsi"/>
        </w:rPr>
        <w:t xml:space="preserve"> </w:t>
      </w:r>
      <w:r w:rsidR="00E00E75">
        <w:rPr>
          <w:rFonts w:asciiTheme="minorHAnsi" w:hAnsiTheme="minorHAnsi"/>
        </w:rPr>
        <w:t>sanitaria vigente</w:t>
      </w:r>
      <w:r w:rsidR="00C32492">
        <w:rPr>
          <w:rFonts w:asciiTheme="minorHAnsi" w:hAnsiTheme="minorHAnsi"/>
        </w:rPr>
        <w:t>.</w:t>
      </w:r>
    </w:p>
    <w:p w:rsidR="000B5E01" w:rsidRPr="003C1E4C" w:rsidRDefault="000B5E01" w:rsidP="000B5E01">
      <w:pPr>
        <w:suppressAutoHyphens/>
        <w:jc w:val="both"/>
        <w:rPr>
          <w:rFonts w:asciiTheme="minorHAnsi" w:hAnsiTheme="minorHAnsi"/>
          <w:highlight w:val="yellow"/>
        </w:rPr>
      </w:pPr>
    </w:p>
    <w:p w:rsidR="007E4952" w:rsidRDefault="00F133D6" w:rsidP="007E4952">
      <w:pPr>
        <w:suppressAutoHyphens/>
        <w:ind w:left="851" w:right="850"/>
        <w:jc w:val="center"/>
        <w:rPr>
          <w:rFonts w:asciiTheme="minorHAnsi" w:hAnsiTheme="minorHAnsi"/>
        </w:rPr>
      </w:pPr>
      <w:r w:rsidRPr="00F133D6">
        <w:rPr>
          <w:rFonts w:asciiTheme="minorHAnsi" w:hAnsiTheme="minorHAnsi"/>
          <w:b/>
        </w:rPr>
        <w:t xml:space="preserve">Cuadro </w:t>
      </w:r>
      <w:r w:rsidR="00DA7565">
        <w:rPr>
          <w:rFonts w:asciiTheme="minorHAnsi" w:hAnsiTheme="minorHAnsi"/>
          <w:b/>
        </w:rPr>
        <w:t>4</w:t>
      </w:r>
      <w:r w:rsidRPr="00F133D6">
        <w:rPr>
          <w:rFonts w:asciiTheme="minorHAnsi" w:hAnsiTheme="minorHAnsi"/>
          <w:b/>
        </w:rPr>
        <w:t>.</w:t>
      </w:r>
      <w:r w:rsidRPr="00F133D6">
        <w:rPr>
          <w:rFonts w:asciiTheme="minorHAnsi" w:hAnsiTheme="minorHAnsi"/>
        </w:rPr>
        <w:t xml:space="preserve"> Composi</w:t>
      </w:r>
      <w:r>
        <w:rPr>
          <w:rFonts w:asciiTheme="minorHAnsi" w:hAnsiTheme="minorHAnsi"/>
        </w:rPr>
        <w:t>ci</w:t>
      </w:r>
      <w:r w:rsidRPr="00F133D6">
        <w:rPr>
          <w:rFonts w:asciiTheme="minorHAnsi" w:hAnsiTheme="minorHAnsi"/>
        </w:rPr>
        <w:t>ón del Gasto Público de la APNF. Clasificación por Finalidad y Función base devengado</w:t>
      </w:r>
      <w:r>
        <w:rPr>
          <w:rFonts w:asciiTheme="minorHAnsi" w:hAnsiTheme="minorHAnsi"/>
        </w:rPr>
        <w:t>.</w:t>
      </w:r>
    </w:p>
    <w:p w:rsidR="007E4952" w:rsidRPr="00F133D6" w:rsidRDefault="007E4952" w:rsidP="007E4952">
      <w:pPr>
        <w:suppressAutoHyphens/>
        <w:jc w:val="center"/>
        <w:rPr>
          <w:rFonts w:asciiTheme="minorHAnsi" w:hAnsiTheme="minorHAnsi"/>
        </w:rPr>
      </w:pPr>
      <w:r>
        <w:rPr>
          <w:rFonts w:asciiTheme="minorHAnsi" w:hAnsiTheme="minorHAnsi"/>
        </w:rPr>
        <w:t>Comparativo I Trimestre 20</w:t>
      </w:r>
      <w:r w:rsidR="008828A1">
        <w:rPr>
          <w:rFonts w:asciiTheme="minorHAnsi" w:hAnsiTheme="minorHAnsi"/>
        </w:rPr>
        <w:t>20</w:t>
      </w:r>
      <w:r>
        <w:rPr>
          <w:rFonts w:asciiTheme="minorHAnsi" w:hAnsiTheme="minorHAnsi"/>
        </w:rPr>
        <w:t>-201</w:t>
      </w:r>
      <w:r w:rsidR="008828A1">
        <w:rPr>
          <w:rFonts w:asciiTheme="minorHAnsi" w:hAnsiTheme="minorHAnsi"/>
        </w:rPr>
        <w:t>9</w:t>
      </w:r>
    </w:p>
    <w:p w:rsidR="00F133D6" w:rsidRPr="00696972" w:rsidRDefault="00F133D6" w:rsidP="009D616A">
      <w:pPr>
        <w:suppressAutoHyphens/>
        <w:spacing w:after="120"/>
        <w:jc w:val="center"/>
        <w:rPr>
          <w:rFonts w:asciiTheme="minorHAnsi" w:hAnsiTheme="minorHAnsi"/>
        </w:rPr>
      </w:pPr>
      <w:r>
        <w:rPr>
          <w:rFonts w:asciiTheme="minorHAnsi" w:hAnsiTheme="minorHAnsi"/>
        </w:rPr>
        <w:t>En millones de pesos</w:t>
      </w:r>
    </w:p>
    <w:p w:rsidR="007912AD" w:rsidRDefault="00040431" w:rsidP="00FB3BFA">
      <w:pPr>
        <w:suppressAutoHyphens/>
        <w:jc w:val="center"/>
        <w:rPr>
          <w:rFonts w:asciiTheme="minorHAnsi" w:hAnsiTheme="minorHAnsi"/>
          <w:sz w:val="20"/>
          <w:szCs w:val="20"/>
        </w:rPr>
      </w:pPr>
      <w:r w:rsidRPr="00040431">
        <w:rPr>
          <w:noProof/>
          <w:lang w:val="es-AR" w:eastAsia="es-AR"/>
        </w:rPr>
        <w:drawing>
          <wp:inline distT="0" distB="0" distL="0" distR="0">
            <wp:extent cx="5400675" cy="290505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6212" cy="2908035"/>
                    </a:xfrm>
                    <a:prstGeom prst="rect">
                      <a:avLst/>
                    </a:prstGeom>
                    <a:noFill/>
                    <a:ln>
                      <a:noFill/>
                    </a:ln>
                  </pic:spPr>
                </pic:pic>
              </a:graphicData>
            </a:graphic>
          </wp:inline>
        </w:drawing>
      </w:r>
    </w:p>
    <w:p w:rsidR="00590089" w:rsidRPr="00DB5695" w:rsidRDefault="00590089" w:rsidP="00590089">
      <w:pPr>
        <w:suppressAutoHyphens/>
        <w:ind w:right="-1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p w:rsidR="00696972" w:rsidRDefault="00696972" w:rsidP="004D39AC">
      <w:pPr>
        <w:suppressAutoHyphens/>
        <w:jc w:val="both"/>
        <w:rPr>
          <w:rFonts w:asciiTheme="minorHAnsi" w:hAnsiTheme="minorHAnsi"/>
        </w:rPr>
      </w:pPr>
    </w:p>
    <w:p w:rsidR="000A0B80" w:rsidRPr="004C56AD" w:rsidRDefault="00A0614B" w:rsidP="004D39AC">
      <w:pPr>
        <w:suppressAutoHyphens/>
        <w:jc w:val="both"/>
        <w:rPr>
          <w:rFonts w:asciiTheme="minorHAnsi" w:hAnsiTheme="minorHAnsi"/>
        </w:rPr>
      </w:pPr>
      <w:r w:rsidRPr="004C56AD">
        <w:rPr>
          <w:rFonts w:asciiTheme="minorHAnsi" w:hAnsiTheme="minorHAnsi"/>
        </w:rPr>
        <w:t>En cuanto a</w:t>
      </w:r>
      <w:r w:rsidR="004D39AC" w:rsidRPr="004C56AD">
        <w:rPr>
          <w:rFonts w:asciiTheme="minorHAnsi" w:hAnsiTheme="minorHAnsi"/>
        </w:rPr>
        <w:t xml:space="preserve"> la finalidad Administración Gubernamental</w:t>
      </w:r>
      <w:r w:rsidR="007626EF" w:rsidRPr="004C56AD">
        <w:rPr>
          <w:rFonts w:asciiTheme="minorHAnsi" w:hAnsiTheme="minorHAnsi"/>
        </w:rPr>
        <w:t>, que</w:t>
      </w:r>
      <w:r w:rsidR="004D39AC" w:rsidRPr="004C56AD">
        <w:rPr>
          <w:rFonts w:asciiTheme="minorHAnsi" w:hAnsiTheme="minorHAnsi"/>
        </w:rPr>
        <w:t xml:space="preserve"> </w:t>
      </w:r>
      <w:r w:rsidR="007626EF" w:rsidRPr="004C56AD">
        <w:rPr>
          <w:rFonts w:asciiTheme="minorHAnsi" w:hAnsiTheme="minorHAnsi"/>
        </w:rPr>
        <w:t xml:space="preserve">registra un aumento interanual del </w:t>
      </w:r>
      <w:r w:rsidR="00F95E5A" w:rsidRPr="004C56AD">
        <w:rPr>
          <w:rFonts w:asciiTheme="minorHAnsi" w:hAnsiTheme="minorHAnsi"/>
        </w:rPr>
        <w:t>37,6</w:t>
      </w:r>
      <w:r w:rsidR="00970FFD">
        <w:rPr>
          <w:rFonts w:asciiTheme="minorHAnsi" w:hAnsiTheme="minorHAnsi"/>
        </w:rPr>
        <w:t>%</w:t>
      </w:r>
      <w:r w:rsidR="007626EF" w:rsidRPr="004C56AD">
        <w:rPr>
          <w:rFonts w:asciiTheme="minorHAnsi" w:hAnsiTheme="minorHAnsi"/>
        </w:rPr>
        <w:t xml:space="preserve">, </w:t>
      </w:r>
      <w:r w:rsidR="00837B6B" w:rsidRPr="004C56AD">
        <w:rPr>
          <w:rFonts w:asciiTheme="minorHAnsi" w:hAnsiTheme="minorHAnsi"/>
        </w:rPr>
        <w:t xml:space="preserve">su comportamiento es </w:t>
      </w:r>
      <w:r w:rsidR="008042E6" w:rsidRPr="004C56AD">
        <w:rPr>
          <w:rFonts w:asciiTheme="minorHAnsi" w:hAnsiTheme="minorHAnsi"/>
        </w:rPr>
        <w:t>p</w:t>
      </w:r>
      <w:r w:rsidR="00F95E5A" w:rsidRPr="004C56AD">
        <w:rPr>
          <w:rFonts w:asciiTheme="minorHAnsi" w:hAnsiTheme="minorHAnsi"/>
        </w:rPr>
        <w:t>rincip</w:t>
      </w:r>
      <w:r w:rsidR="0044374A" w:rsidRPr="004C56AD">
        <w:rPr>
          <w:rFonts w:asciiTheme="minorHAnsi" w:hAnsiTheme="minorHAnsi"/>
        </w:rPr>
        <w:t>al</w:t>
      </w:r>
      <w:r w:rsidR="008042E6" w:rsidRPr="004C56AD">
        <w:rPr>
          <w:rFonts w:asciiTheme="minorHAnsi" w:hAnsiTheme="minorHAnsi"/>
        </w:rPr>
        <w:t>mente explicado</w:t>
      </w:r>
      <w:r w:rsidR="00837B6B" w:rsidRPr="004C56AD">
        <w:rPr>
          <w:rFonts w:asciiTheme="minorHAnsi" w:hAnsiTheme="minorHAnsi"/>
        </w:rPr>
        <w:t xml:space="preserve"> por</w:t>
      </w:r>
      <w:r w:rsidRPr="004C56AD">
        <w:rPr>
          <w:rFonts w:asciiTheme="minorHAnsi" w:hAnsiTheme="minorHAnsi"/>
        </w:rPr>
        <w:t xml:space="preserve"> la función </w:t>
      </w:r>
      <w:r w:rsidR="00837B6B" w:rsidRPr="004C56AD">
        <w:rPr>
          <w:rFonts w:asciiTheme="minorHAnsi" w:hAnsiTheme="minorHAnsi"/>
        </w:rPr>
        <w:t>R</w:t>
      </w:r>
      <w:r w:rsidRPr="004C56AD">
        <w:rPr>
          <w:rFonts w:asciiTheme="minorHAnsi" w:hAnsiTheme="minorHAnsi"/>
        </w:rPr>
        <w:t xml:space="preserve">elaciones </w:t>
      </w:r>
      <w:r w:rsidR="00837B6B" w:rsidRPr="004C56AD">
        <w:rPr>
          <w:rFonts w:asciiTheme="minorHAnsi" w:hAnsiTheme="minorHAnsi"/>
        </w:rPr>
        <w:t>I</w:t>
      </w:r>
      <w:r w:rsidRPr="004C56AD">
        <w:rPr>
          <w:rFonts w:asciiTheme="minorHAnsi" w:hAnsiTheme="minorHAnsi"/>
        </w:rPr>
        <w:t>nteriores</w:t>
      </w:r>
      <w:r w:rsidR="0044374A" w:rsidRPr="004C56AD">
        <w:rPr>
          <w:rFonts w:asciiTheme="minorHAnsi" w:hAnsiTheme="minorHAnsi"/>
        </w:rPr>
        <w:t>,</w:t>
      </w:r>
      <w:r w:rsidR="0034047F" w:rsidRPr="004C56AD">
        <w:rPr>
          <w:rFonts w:asciiTheme="minorHAnsi" w:hAnsiTheme="minorHAnsi"/>
        </w:rPr>
        <w:t xml:space="preserve"> cuy</w:t>
      </w:r>
      <w:r w:rsidR="0038309E" w:rsidRPr="004C56AD">
        <w:rPr>
          <w:rFonts w:asciiTheme="minorHAnsi" w:hAnsiTheme="minorHAnsi"/>
        </w:rPr>
        <w:t>o componente lo</w:t>
      </w:r>
      <w:r w:rsidR="0034047F" w:rsidRPr="004C56AD">
        <w:rPr>
          <w:rFonts w:asciiTheme="minorHAnsi" w:hAnsiTheme="minorHAnsi"/>
        </w:rPr>
        <w:t xml:space="preserve"> constituyen </w:t>
      </w:r>
      <w:r w:rsidR="004D39AC" w:rsidRPr="004C56AD">
        <w:rPr>
          <w:rFonts w:asciiTheme="minorHAnsi" w:hAnsiTheme="minorHAnsi"/>
        </w:rPr>
        <w:t>las transferencias (coparticipación y subsidios) de las provinc</w:t>
      </w:r>
      <w:r w:rsidR="00760C2D" w:rsidRPr="004C56AD">
        <w:rPr>
          <w:rFonts w:asciiTheme="minorHAnsi" w:hAnsiTheme="minorHAnsi"/>
        </w:rPr>
        <w:t>ias a los municipios</w:t>
      </w:r>
      <w:r w:rsidR="007626EF" w:rsidRPr="004C56AD">
        <w:rPr>
          <w:rFonts w:asciiTheme="minorHAnsi" w:hAnsiTheme="minorHAnsi"/>
        </w:rPr>
        <w:t>.</w:t>
      </w:r>
      <w:r w:rsidR="007363D6" w:rsidRPr="004C56AD">
        <w:rPr>
          <w:rFonts w:asciiTheme="minorHAnsi" w:hAnsiTheme="minorHAnsi"/>
        </w:rPr>
        <w:t xml:space="preserve"> No obstante, se observan crecimientos en las </w:t>
      </w:r>
      <w:r w:rsidR="000A0B80" w:rsidRPr="004C56AD">
        <w:rPr>
          <w:rFonts w:asciiTheme="minorHAnsi" w:hAnsiTheme="minorHAnsi"/>
        </w:rPr>
        <w:t xml:space="preserve">restantes </w:t>
      </w:r>
      <w:r w:rsidR="007363D6" w:rsidRPr="004C56AD">
        <w:rPr>
          <w:rFonts w:asciiTheme="minorHAnsi" w:hAnsiTheme="minorHAnsi"/>
        </w:rPr>
        <w:t>funciones</w:t>
      </w:r>
      <w:r w:rsidR="000A0B80" w:rsidRPr="004C56AD">
        <w:rPr>
          <w:rFonts w:asciiTheme="minorHAnsi" w:hAnsiTheme="minorHAnsi"/>
        </w:rPr>
        <w:t xml:space="preserve"> que reflejan básicamente los aumentos salariales logrados por los distintos regímenes escalafonarios.</w:t>
      </w:r>
    </w:p>
    <w:p w:rsidR="0038309E" w:rsidRPr="004C56AD" w:rsidRDefault="0038309E" w:rsidP="004D39AC">
      <w:pPr>
        <w:suppressAutoHyphens/>
        <w:jc w:val="both"/>
        <w:rPr>
          <w:rFonts w:asciiTheme="minorHAnsi" w:hAnsiTheme="minorHAnsi"/>
        </w:rPr>
      </w:pPr>
    </w:p>
    <w:p w:rsidR="004D39AC" w:rsidRPr="004C56AD" w:rsidRDefault="007626EF" w:rsidP="004D39AC">
      <w:pPr>
        <w:suppressAutoHyphens/>
        <w:jc w:val="both"/>
        <w:rPr>
          <w:rFonts w:asciiTheme="minorHAnsi" w:hAnsiTheme="minorHAnsi"/>
          <w:b/>
        </w:rPr>
      </w:pPr>
      <w:r w:rsidRPr="004C56AD">
        <w:rPr>
          <w:rFonts w:asciiTheme="minorHAnsi" w:hAnsiTheme="minorHAnsi"/>
        </w:rPr>
        <w:t>Por su parte,</w:t>
      </w:r>
      <w:r w:rsidR="004D39AC" w:rsidRPr="004C56AD">
        <w:rPr>
          <w:rFonts w:asciiTheme="minorHAnsi" w:hAnsiTheme="minorHAnsi"/>
        </w:rPr>
        <w:t xml:space="preserve"> el gasto en D</w:t>
      </w:r>
      <w:r w:rsidR="00760C2D" w:rsidRPr="004C56AD">
        <w:rPr>
          <w:rFonts w:asciiTheme="minorHAnsi" w:hAnsiTheme="minorHAnsi"/>
        </w:rPr>
        <w:t xml:space="preserve">euda Pública se incrementó en </w:t>
      </w:r>
      <w:r w:rsidR="00F95E5A" w:rsidRPr="004C56AD">
        <w:rPr>
          <w:rFonts w:asciiTheme="minorHAnsi" w:hAnsiTheme="minorHAnsi"/>
        </w:rPr>
        <w:t>13,9</w:t>
      </w:r>
      <w:r w:rsidR="00970FFD">
        <w:rPr>
          <w:rFonts w:asciiTheme="minorHAnsi" w:hAnsiTheme="minorHAnsi"/>
        </w:rPr>
        <w:t>%</w:t>
      </w:r>
      <w:r w:rsidR="004D39AC" w:rsidRPr="004C56AD">
        <w:rPr>
          <w:rFonts w:asciiTheme="minorHAnsi" w:hAnsiTheme="minorHAnsi"/>
        </w:rPr>
        <w:t>,</w:t>
      </w:r>
      <w:r w:rsidR="00D3205E" w:rsidRPr="004C56AD">
        <w:rPr>
          <w:rFonts w:asciiTheme="minorHAnsi" w:hAnsiTheme="minorHAnsi"/>
        </w:rPr>
        <w:t xml:space="preserve"> por los motivos </w:t>
      </w:r>
      <w:r w:rsidR="005F7AD0" w:rsidRPr="004C56AD">
        <w:rPr>
          <w:rFonts w:asciiTheme="minorHAnsi" w:hAnsiTheme="minorHAnsi"/>
        </w:rPr>
        <w:t>que se explica</w:t>
      </w:r>
      <w:r w:rsidR="000A0B80" w:rsidRPr="004C56AD">
        <w:rPr>
          <w:rFonts w:asciiTheme="minorHAnsi" w:hAnsiTheme="minorHAnsi"/>
        </w:rPr>
        <w:t>ro</w:t>
      </w:r>
      <w:r w:rsidR="005F7AD0" w:rsidRPr="004C56AD">
        <w:rPr>
          <w:rFonts w:asciiTheme="minorHAnsi" w:hAnsiTheme="minorHAnsi"/>
        </w:rPr>
        <w:t>n</w:t>
      </w:r>
      <w:r w:rsidR="00D3205E" w:rsidRPr="004C56AD">
        <w:rPr>
          <w:rFonts w:asciiTheme="minorHAnsi" w:hAnsiTheme="minorHAnsi"/>
        </w:rPr>
        <w:t xml:space="preserve"> al analizar los </w:t>
      </w:r>
      <w:r w:rsidR="001C3F95" w:rsidRPr="004C56AD">
        <w:rPr>
          <w:rFonts w:asciiTheme="minorHAnsi" w:hAnsiTheme="minorHAnsi"/>
        </w:rPr>
        <w:t>e</w:t>
      </w:r>
      <w:r w:rsidR="00D3205E" w:rsidRPr="004C56AD">
        <w:rPr>
          <w:rFonts w:asciiTheme="minorHAnsi" w:hAnsiTheme="minorHAnsi"/>
        </w:rPr>
        <w:t>g</w:t>
      </w:r>
      <w:r w:rsidR="001C3F95" w:rsidRPr="004C56AD">
        <w:rPr>
          <w:rFonts w:asciiTheme="minorHAnsi" w:hAnsiTheme="minorHAnsi"/>
        </w:rPr>
        <w:t>re</w:t>
      </w:r>
      <w:r w:rsidR="00D3205E" w:rsidRPr="004C56AD">
        <w:rPr>
          <w:rFonts w:asciiTheme="minorHAnsi" w:hAnsiTheme="minorHAnsi"/>
        </w:rPr>
        <w:t>sos en concepto de Renta de la Propiedad</w:t>
      </w:r>
      <w:r w:rsidR="00E803E6" w:rsidRPr="004C56AD">
        <w:rPr>
          <w:rFonts w:asciiTheme="minorHAnsi" w:hAnsiTheme="minorHAnsi"/>
        </w:rPr>
        <w:t>.</w:t>
      </w:r>
      <w:r w:rsidR="00A22328" w:rsidRPr="004C56AD">
        <w:rPr>
          <w:rFonts w:asciiTheme="minorHAnsi" w:hAnsiTheme="minorHAnsi"/>
        </w:rPr>
        <w:t xml:space="preserve"> </w:t>
      </w:r>
      <w:r w:rsidR="004D39AC" w:rsidRPr="004C56AD">
        <w:rPr>
          <w:rFonts w:asciiTheme="minorHAnsi" w:hAnsiTheme="minorHAnsi"/>
        </w:rPr>
        <w:t>Por último, la finalidad Servicios Económicos</w:t>
      </w:r>
      <w:r w:rsidR="00A30B5E" w:rsidRPr="004C56AD">
        <w:rPr>
          <w:rFonts w:asciiTheme="minorHAnsi" w:hAnsiTheme="minorHAnsi"/>
        </w:rPr>
        <w:t xml:space="preserve"> observó un incremento de </w:t>
      </w:r>
      <w:r w:rsidR="00C32492">
        <w:rPr>
          <w:rFonts w:asciiTheme="minorHAnsi" w:hAnsiTheme="minorHAnsi"/>
        </w:rPr>
        <w:t xml:space="preserve">sólo </w:t>
      </w:r>
      <w:r w:rsidR="00030B5B" w:rsidRPr="004C56AD">
        <w:rPr>
          <w:rFonts w:asciiTheme="minorHAnsi" w:hAnsiTheme="minorHAnsi"/>
        </w:rPr>
        <w:t>3</w:t>
      </w:r>
      <w:r w:rsidR="00F95E5A" w:rsidRPr="004C56AD">
        <w:rPr>
          <w:rFonts w:asciiTheme="minorHAnsi" w:hAnsiTheme="minorHAnsi"/>
        </w:rPr>
        <w:t>,0</w:t>
      </w:r>
      <w:r w:rsidR="00970FFD">
        <w:rPr>
          <w:rFonts w:asciiTheme="minorHAnsi" w:hAnsiTheme="minorHAnsi"/>
        </w:rPr>
        <w:t>%</w:t>
      </w:r>
      <w:r w:rsidR="00741549" w:rsidRPr="004C56AD">
        <w:rPr>
          <w:rFonts w:asciiTheme="minorHAnsi" w:hAnsiTheme="minorHAnsi"/>
        </w:rPr>
        <w:t>,</w:t>
      </w:r>
      <w:r w:rsidR="004D39AC" w:rsidRPr="004C56AD">
        <w:rPr>
          <w:rFonts w:asciiTheme="minorHAnsi" w:hAnsiTheme="minorHAnsi"/>
        </w:rPr>
        <w:t xml:space="preserve"> donde se destaca </w:t>
      </w:r>
      <w:r w:rsidR="00C32492">
        <w:rPr>
          <w:rFonts w:asciiTheme="minorHAnsi" w:hAnsiTheme="minorHAnsi"/>
        </w:rPr>
        <w:t xml:space="preserve">la continuidad de las transferencias de </w:t>
      </w:r>
      <w:r w:rsidR="004D39AC" w:rsidRPr="004C56AD">
        <w:rPr>
          <w:rFonts w:asciiTheme="minorHAnsi" w:hAnsiTheme="minorHAnsi"/>
        </w:rPr>
        <w:t>la funci</w:t>
      </w:r>
      <w:r w:rsidR="004C56AD" w:rsidRPr="004C56AD">
        <w:rPr>
          <w:rFonts w:asciiTheme="minorHAnsi" w:hAnsiTheme="minorHAnsi"/>
        </w:rPr>
        <w:t>ó</w:t>
      </w:r>
      <w:r w:rsidR="004D39AC" w:rsidRPr="004C56AD">
        <w:rPr>
          <w:rFonts w:asciiTheme="minorHAnsi" w:hAnsiTheme="minorHAnsi"/>
        </w:rPr>
        <w:t>n Transporte.</w:t>
      </w:r>
    </w:p>
    <w:p w:rsidR="00EC0D93" w:rsidRPr="004C56AD" w:rsidRDefault="00EC0D93" w:rsidP="00EC0D93">
      <w:pPr>
        <w:suppressAutoHyphens/>
        <w:jc w:val="both"/>
        <w:rPr>
          <w:rFonts w:ascii="Calibri" w:hAnsi="Calibri"/>
        </w:rPr>
      </w:pPr>
    </w:p>
    <w:p w:rsidR="004C56AD" w:rsidRPr="004C56AD" w:rsidRDefault="00EC0D93" w:rsidP="00EC0D93">
      <w:pPr>
        <w:suppressAutoHyphens/>
        <w:jc w:val="both"/>
        <w:rPr>
          <w:rFonts w:asciiTheme="minorHAnsi" w:hAnsiTheme="minorHAnsi"/>
        </w:rPr>
      </w:pPr>
      <w:r w:rsidRPr="004C56AD">
        <w:rPr>
          <w:rFonts w:asciiTheme="minorHAnsi" w:hAnsiTheme="minorHAnsi"/>
        </w:rPr>
        <w:t>El Gráfico 4 muestra la participación relativa de las finalidades al primer trimestre de 20</w:t>
      </w:r>
      <w:r w:rsidR="004C56AD" w:rsidRPr="004C56AD">
        <w:rPr>
          <w:rFonts w:asciiTheme="minorHAnsi" w:hAnsiTheme="minorHAnsi"/>
        </w:rPr>
        <w:t>20. En el mismo</w:t>
      </w:r>
      <w:r w:rsidRPr="004C56AD">
        <w:rPr>
          <w:rFonts w:asciiTheme="minorHAnsi" w:hAnsiTheme="minorHAnsi"/>
        </w:rPr>
        <w:t xml:space="preserve"> puede verse la relevancia de los Servicios Sociales con una participación en el gasto total de </w:t>
      </w:r>
      <w:r w:rsidR="004C56AD" w:rsidRPr="004C56AD">
        <w:rPr>
          <w:rFonts w:asciiTheme="minorHAnsi" w:hAnsiTheme="minorHAnsi"/>
        </w:rPr>
        <w:t>57,</w:t>
      </w:r>
      <w:r w:rsidR="00C32492">
        <w:rPr>
          <w:rFonts w:asciiTheme="minorHAnsi" w:hAnsiTheme="minorHAnsi"/>
        </w:rPr>
        <w:t>7</w:t>
      </w:r>
      <w:r w:rsidR="00970FFD">
        <w:rPr>
          <w:rFonts w:asciiTheme="minorHAnsi" w:hAnsiTheme="minorHAnsi"/>
        </w:rPr>
        <w:t>%</w:t>
      </w:r>
      <w:r w:rsidRPr="004C56AD">
        <w:rPr>
          <w:rFonts w:asciiTheme="minorHAnsi" w:hAnsiTheme="minorHAnsi"/>
        </w:rPr>
        <w:t xml:space="preserve">, </w:t>
      </w:r>
      <w:r w:rsidR="004C56AD" w:rsidRPr="004C56AD">
        <w:rPr>
          <w:rFonts w:asciiTheme="minorHAnsi" w:hAnsiTheme="minorHAnsi"/>
        </w:rPr>
        <w:t>siendo sus principales componentes el gasto en Educación y Cultura (26,0</w:t>
      </w:r>
      <w:r w:rsidR="00970FFD">
        <w:rPr>
          <w:rFonts w:asciiTheme="minorHAnsi" w:hAnsiTheme="minorHAnsi"/>
        </w:rPr>
        <w:t>%</w:t>
      </w:r>
      <w:r w:rsidR="004C56AD" w:rsidRPr="004C56AD">
        <w:rPr>
          <w:rFonts w:asciiTheme="minorHAnsi" w:hAnsiTheme="minorHAnsi"/>
        </w:rPr>
        <w:t xml:space="preserve"> del gasto total), la Seguridad Social (14,9</w:t>
      </w:r>
      <w:r w:rsidR="00970FFD">
        <w:rPr>
          <w:rFonts w:asciiTheme="minorHAnsi" w:hAnsiTheme="minorHAnsi"/>
        </w:rPr>
        <w:t>%</w:t>
      </w:r>
      <w:r w:rsidR="004C56AD" w:rsidRPr="004C56AD">
        <w:rPr>
          <w:rFonts w:asciiTheme="minorHAnsi" w:hAnsiTheme="minorHAnsi"/>
        </w:rPr>
        <w:t>) y la Salud (10,3</w:t>
      </w:r>
      <w:r w:rsidR="00970FFD">
        <w:rPr>
          <w:rFonts w:asciiTheme="minorHAnsi" w:hAnsiTheme="minorHAnsi"/>
        </w:rPr>
        <w:t>%</w:t>
      </w:r>
      <w:r w:rsidR="004C56AD" w:rsidRPr="004C56AD">
        <w:rPr>
          <w:rFonts w:asciiTheme="minorHAnsi" w:hAnsiTheme="minorHAnsi"/>
        </w:rPr>
        <w:t>).</w:t>
      </w:r>
    </w:p>
    <w:p w:rsidR="004C56AD" w:rsidRPr="004C56AD" w:rsidRDefault="004C56AD" w:rsidP="00EC0D93">
      <w:pPr>
        <w:suppressAutoHyphens/>
        <w:jc w:val="both"/>
        <w:rPr>
          <w:rFonts w:asciiTheme="minorHAnsi" w:hAnsiTheme="minorHAnsi"/>
        </w:rPr>
      </w:pPr>
    </w:p>
    <w:p w:rsidR="004C56AD" w:rsidRPr="004C56AD" w:rsidRDefault="004C56AD" w:rsidP="00EC0D93">
      <w:pPr>
        <w:suppressAutoHyphens/>
        <w:jc w:val="both"/>
        <w:rPr>
          <w:rFonts w:asciiTheme="minorHAnsi" w:hAnsiTheme="minorHAnsi"/>
        </w:rPr>
      </w:pPr>
      <w:r w:rsidRPr="004C56AD">
        <w:rPr>
          <w:rFonts w:asciiTheme="minorHAnsi" w:hAnsiTheme="minorHAnsi"/>
        </w:rPr>
        <w:t>L</w:t>
      </w:r>
      <w:r w:rsidR="00EC0D93" w:rsidRPr="004C56AD">
        <w:rPr>
          <w:rFonts w:asciiTheme="minorHAnsi" w:hAnsiTheme="minorHAnsi"/>
        </w:rPr>
        <w:t>a</w:t>
      </w:r>
      <w:r w:rsidRPr="004C56AD">
        <w:rPr>
          <w:rFonts w:asciiTheme="minorHAnsi" w:hAnsiTheme="minorHAnsi"/>
        </w:rPr>
        <w:t xml:space="preserve"> segunda</w:t>
      </w:r>
      <w:r w:rsidR="00EC0D93" w:rsidRPr="004C56AD">
        <w:rPr>
          <w:rFonts w:asciiTheme="minorHAnsi" w:hAnsiTheme="minorHAnsi"/>
        </w:rPr>
        <w:t xml:space="preserve"> finalidad en</w:t>
      </w:r>
      <w:r w:rsidRPr="004C56AD">
        <w:rPr>
          <w:rFonts w:asciiTheme="minorHAnsi" w:hAnsiTheme="minorHAnsi"/>
        </w:rPr>
        <w:t xml:space="preserve"> términos de</w:t>
      </w:r>
      <w:r w:rsidR="00EC0D93" w:rsidRPr="004C56AD">
        <w:rPr>
          <w:rFonts w:asciiTheme="minorHAnsi" w:hAnsiTheme="minorHAnsi"/>
        </w:rPr>
        <w:t xml:space="preserve"> importancia es la Administración Gubernamental, con 22,</w:t>
      </w:r>
      <w:r w:rsidRPr="004C56AD">
        <w:rPr>
          <w:rFonts w:asciiTheme="minorHAnsi" w:hAnsiTheme="minorHAnsi"/>
        </w:rPr>
        <w:t>6</w:t>
      </w:r>
      <w:r w:rsidR="00970FFD">
        <w:rPr>
          <w:rFonts w:asciiTheme="minorHAnsi" w:hAnsiTheme="minorHAnsi"/>
        </w:rPr>
        <w:t>%</w:t>
      </w:r>
      <w:r w:rsidRPr="004C56AD">
        <w:rPr>
          <w:rFonts w:asciiTheme="minorHAnsi" w:hAnsiTheme="minorHAnsi"/>
        </w:rPr>
        <w:t>, de la cual poco más de la mitad (11,9</w:t>
      </w:r>
      <w:r w:rsidR="00970FFD">
        <w:rPr>
          <w:rFonts w:asciiTheme="minorHAnsi" w:hAnsiTheme="minorHAnsi"/>
        </w:rPr>
        <w:t>%</w:t>
      </w:r>
      <w:r w:rsidRPr="004C56AD">
        <w:rPr>
          <w:rFonts w:asciiTheme="minorHAnsi" w:hAnsiTheme="minorHAnsi"/>
        </w:rPr>
        <w:t xml:space="preserve"> de las erogaciones totales) corresponde a las relaciones con municipios</w:t>
      </w:r>
      <w:r w:rsidR="00EC0D93" w:rsidRPr="004C56AD">
        <w:rPr>
          <w:rFonts w:asciiTheme="minorHAnsi" w:hAnsiTheme="minorHAnsi"/>
        </w:rPr>
        <w:t>.</w:t>
      </w:r>
      <w:r w:rsidRPr="004C56AD">
        <w:rPr>
          <w:rFonts w:asciiTheme="minorHAnsi" w:hAnsiTheme="minorHAnsi"/>
        </w:rPr>
        <w:t xml:space="preserve"> Los servicios de Seguridad absorbieron el 10,</w:t>
      </w:r>
      <w:r w:rsidR="00C32492">
        <w:rPr>
          <w:rFonts w:asciiTheme="minorHAnsi" w:hAnsiTheme="minorHAnsi"/>
        </w:rPr>
        <w:t>7</w:t>
      </w:r>
      <w:r w:rsidR="00970FFD">
        <w:rPr>
          <w:rFonts w:asciiTheme="minorHAnsi" w:hAnsiTheme="minorHAnsi"/>
        </w:rPr>
        <w:t>%</w:t>
      </w:r>
      <w:r w:rsidRPr="004C56AD">
        <w:rPr>
          <w:rFonts w:asciiTheme="minorHAnsi" w:hAnsiTheme="minorHAnsi"/>
        </w:rPr>
        <w:t xml:space="preserve"> del gasto.</w:t>
      </w:r>
    </w:p>
    <w:p w:rsidR="004C56AD" w:rsidRPr="004C56AD" w:rsidRDefault="004C56AD" w:rsidP="00EC0D93">
      <w:pPr>
        <w:suppressAutoHyphens/>
        <w:jc w:val="both"/>
        <w:rPr>
          <w:rFonts w:asciiTheme="minorHAnsi" w:hAnsiTheme="minorHAnsi"/>
        </w:rPr>
      </w:pPr>
    </w:p>
    <w:p w:rsidR="00EC0D93" w:rsidRDefault="00EC0D93" w:rsidP="00EC0D93">
      <w:pPr>
        <w:suppressAutoHyphens/>
        <w:jc w:val="both"/>
        <w:rPr>
          <w:rFonts w:asciiTheme="minorHAnsi" w:hAnsiTheme="minorHAnsi"/>
        </w:rPr>
      </w:pPr>
      <w:r w:rsidRPr="004C56AD">
        <w:rPr>
          <w:rFonts w:asciiTheme="minorHAnsi" w:hAnsiTheme="minorHAnsi"/>
        </w:rPr>
        <w:t xml:space="preserve">La finalidad Deuda Pública </w:t>
      </w:r>
      <w:r w:rsidR="004C56AD" w:rsidRPr="004C56AD">
        <w:rPr>
          <w:rFonts w:asciiTheme="minorHAnsi" w:hAnsiTheme="minorHAnsi"/>
        </w:rPr>
        <w:t>registra una disminución de</w:t>
      </w:r>
      <w:r w:rsidRPr="004C56AD">
        <w:rPr>
          <w:rFonts w:asciiTheme="minorHAnsi" w:hAnsiTheme="minorHAnsi"/>
        </w:rPr>
        <w:t xml:space="preserve"> su participación relativa (</w:t>
      </w:r>
      <w:r w:rsidR="004C56AD" w:rsidRPr="004C56AD">
        <w:rPr>
          <w:rFonts w:asciiTheme="minorHAnsi" w:hAnsiTheme="minorHAnsi"/>
        </w:rPr>
        <w:t>4,3</w:t>
      </w:r>
      <w:r w:rsidR="00970FFD">
        <w:rPr>
          <w:rFonts w:asciiTheme="minorHAnsi" w:hAnsiTheme="minorHAnsi"/>
        </w:rPr>
        <w:t>%</w:t>
      </w:r>
      <w:r w:rsidRPr="004C56AD">
        <w:rPr>
          <w:rFonts w:asciiTheme="minorHAnsi" w:hAnsiTheme="minorHAnsi"/>
        </w:rPr>
        <w:t xml:space="preserve"> del tot</w:t>
      </w:r>
      <w:r w:rsidR="004C56AD" w:rsidRPr="004C56AD">
        <w:rPr>
          <w:rFonts w:asciiTheme="minorHAnsi" w:hAnsiTheme="minorHAnsi"/>
        </w:rPr>
        <w:t>al), en tanto que los</w:t>
      </w:r>
      <w:r w:rsidR="004C56AD">
        <w:rPr>
          <w:rFonts w:asciiTheme="minorHAnsi" w:hAnsiTheme="minorHAnsi"/>
        </w:rPr>
        <w:t xml:space="preserve"> Servicios Económicos representaron </w:t>
      </w:r>
      <w:r w:rsidR="00672D51">
        <w:rPr>
          <w:rFonts w:asciiTheme="minorHAnsi" w:hAnsiTheme="minorHAnsi"/>
        </w:rPr>
        <w:t>4,6</w:t>
      </w:r>
      <w:r w:rsidR="00970FFD">
        <w:rPr>
          <w:rFonts w:asciiTheme="minorHAnsi" w:hAnsiTheme="minorHAnsi"/>
        </w:rPr>
        <w:t>%</w:t>
      </w:r>
      <w:r w:rsidR="00672D51">
        <w:rPr>
          <w:rFonts w:asciiTheme="minorHAnsi" w:hAnsiTheme="minorHAnsi"/>
        </w:rPr>
        <w:t xml:space="preserve"> del gasto, correspondiendo la mitad al gasto de la función Transporte.</w:t>
      </w:r>
    </w:p>
    <w:p w:rsidR="004D39AC" w:rsidRPr="00046D11" w:rsidRDefault="004D39AC" w:rsidP="004D39AC">
      <w:pPr>
        <w:suppressAutoHyphens/>
        <w:jc w:val="both"/>
        <w:rPr>
          <w:rFonts w:ascii="Trebuchet MS" w:hAnsi="Trebuchet MS"/>
          <w:highlight w:val="yellow"/>
        </w:rPr>
      </w:pPr>
    </w:p>
    <w:p w:rsidR="00F133D6" w:rsidRPr="00F133D6" w:rsidRDefault="00F133D6" w:rsidP="00F133D6">
      <w:pPr>
        <w:suppressAutoHyphens/>
        <w:jc w:val="center"/>
        <w:rPr>
          <w:rFonts w:asciiTheme="minorHAnsi" w:hAnsiTheme="minorHAnsi"/>
        </w:rPr>
      </w:pPr>
      <w:r w:rsidRPr="00F133D6">
        <w:rPr>
          <w:rFonts w:asciiTheme="minorHAnsi" w:hAnsiTheme="minorHAnsi"/>
          <w:b/>
        </w:rPr>
        <w:t xml:space="preserve">Gráfico </w:t>
      </w:r>
      <w:r w:rsidR="00DA7565">
        <w:rPr>
          <w:rFonts w:asciiTheme="minorHAnsi" w:hAnsiTheme="minorHAnsi"/>
          <w:b/>
        </w:rPr>
        <w:t>4</w:t>
      </w:r>
      <w:r w:rsidRPr="00F133D6">
        <w:rPr>
          <w:rFonts w:asciiTheme="minorHAnsi" w:hAnsiTheme="minorHAnsi"/>
          <w:b/>
        </w:rPr>
        <w:t>.</w:t>
      </w:r>
      <w:r>
        <w:rPr>
          <w:rFonts w:asciiTheme="minorHAnsi" w:hAnsiTheme="minorHAnsi"/>
        </w:rPr>
        <w:t xml:space="preserve"> </w:t>
      </w:r>
      <w:r w:rsidRPr="00F133D6">
        <w:rPr>
          <w:rFonts w:asciiTheme="minorHAnsi" w:hAnsiTheme="minorHAnsi"/>
        </w:rPr>
        <w:t>Estructura del Gasto por Finalidad y Principales Funciones</w:t>
      </w:r>
    </w:p>
    <w:p w:rsidR="00F133D6" w:rsidRDefault="00F133D6" w:rsidP="009D616A">
      <w:pPr>
        <w:suppressAutoHyphens/>
        <w:spacing w:after="120"/>
        <w:jc w:val="center"/>
        <w:rPr>
          <w:rFonts w:asciiTheme="minorHAnsi" w:hAnsiTheme="minorHAnsi"/>
        </w:rPr>
      </w:pPr>
      <w:r w:rsidRPr="00F133D6">
        <w:rPr>
          <w:rFonts w:asciiTheme="minorHAnsi" w:hAnsiTheme="minorHAnsi"/>
        </w:rPr>
        <w:t>I Trimestre 20</w:t>
      </w:r>
      <w:r w:rsidR="00257BB9">
        <w:rPr>
          <w:rFonts w:asciiTheme="minorHAnsi" w:hAnsiTheme="minorHAnsi"/>
        </w:rPr>
        <w:t>20</w:t>
      </w:r>
    </w:p>
    <w:p w:rsidR="007912AD" w:rsidRPr="00B85EE8" w:rsidRDefault="00257BB9" w:rsidP="00FB3BFA">
      <w:pPr>
        <w:suppressAutoHyphens/>
        <w:jc w:val="center"/>
        <w:rPr>
          <w:rFonts w:ascii="Calibri" w:hAnsi="Calibri"/>
        </w:rPr>
      </w:pPr>
      <w:r>
        <w:rPr>
          <w:rFonts w:ascii="Calibri" w:hAnsi="Calibri"/>
          <w:noProof/>
          <w:lang w:val="es-AR" w:eastAsia="es-AR"/>
        </w:rPr>
        <w:drawing>
          <wp:inline distT="0" distB="0" distL="0" distR="0" wp14:anchorId="4EA8B060">
            <wp:extent cx="5428800" cy="2710800"/>
            <wp:effectExtent l="19050" t="19050" r="19685" b="1397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8800" cy="2710800"/>
                    </a:xfrm>
                    <a:prstGeom prst="rect">
                      <a:avLst/>
                    </a:prstGeom>
                    <a:noFill/>
                    <a:ln w="19050">
                      <a:solidFill>
                        <a:schemeClr val="tx1"/>
                      </a:solidFill>
                    </a:ln>
                  </pic:spPr>
                </pic:pic>
              </a:graphicData>
            </a:graphic>
          </wp:inline>
        </w:drawing>
      </w:r>
    </w:p>
    <w:p w:rsidR="009C35E7" w:rsidRDefault="009C35E7" w:rsidP="009C35E7">
      <w:pPr>
        <w:suppressAutoHyphens/>
        <w:ind w:left="142"/>
        <w:rPr>
          <w:rFonts w:ascii="Calibri" w:hAnsi="Calibri"/>
          <w:sz w:val="20"/>
          <w:szCs w:val="20"/>
        </w:rPr>
      </w:pPr>
      <w:r w:rsidRPr="00143254">
        <w:rPr>
          <w:rFonts w:ascii="Calibri" w:hAnsi="Calibri"/>
          <w:b/>
          <w:sz w:val="20"/>
          <w:szCs w:val="20"/>
        </w:rPr>
        <w:t xml:space="preserve">(1): </w:t>
      </w:r>
      <w:r w:rsidRPr="00143254">
        <w:rPr>
          <w:rFonts w:ascii="Calibri" w:hAnsi="Calibri"/>
          <w:sz w:val="20"/>
          <w:szCs w:val="20"/>
        </w:rPr>
        <w:t xml:space="preserve">Otros </w:t>
      </w:r>
      <w:r>
        <w:rPr>
          <w:rFonts w:ascii="Calibri" w:hAnsi="Calibri"/>
          <w:sz w:val="20"/>
          <w:szCs w:val="20"/>
        </w:rPr>
        <w:t>Servicios Sociales</w:t>
      </w:r>
      <w:r w:rsidRPr="00143254">
        <w:rPr>
          <w:rFonts w:ascii="Calibri" w:hAnsi="Calibri"/>
          <w:sz w:val="20"/>
          <w:szCs w:val="20"/>
        </w:rPr>
        <w:t xml:space="preserve"> comprende </w:t>
      </w:r>
      <w:r>
        <w:rPr>
          <w:rFonts w:ascii="Calibri" w:hAnsi="Calibri"/>
          <w:sz w:val="20"/>
          <w:szCs w:val="20"/>
        </w:rPr>
        <w:t>Ciencia y Técnica, Trabajo, A</w:t>
      </w:r>
      <w:r w:rsidR="00062B32">
        <w:rPr>
          <w:rFonts w:ascii="Calibri" w:hAnsi="Calibri"/>
          <w:sz w:val="20"/>
          <w:szCs w:val="20"/>
        </w:rPr>
        <w:t>gua potable y alcantarillado y O</w:t>
      </w:r>
      <w:r>
        <w:rPr>
          <w:rFonts w:ascii="Calibri" w:hAnsi="Calibri"/>
          <w:sz w:val="20"/>
          <w:szCs w:val="20"/>
        </w:rPr>
        <w:t>tros servicios urbanos.</w:t>
      </w:r>
    </w:p>
    <w:p w:rsidR="00590089" w:rsidRPr="00DB5695" w:rsidRDefault="009C35E7" w:rsidP="009C35E7">
      <w:pPr>
        <w:suppressAutoHyphens/>
        <w:ind w:right="-142"/>
        <w:jc w:val="both"/>
        <w:rPr>
          <w:rFonts w:asciiTheme="minorHAnsi" w:hAnsiTheme="minorHAnsi"/>
          <w:sz w:val="20"/>
          <w:szCs w:val="20"/>
        </w:rPr>
      </w:pPr>
      <w:r>
        <w:rPr>
          <w:rFonts w:ascii="Calibri" w:hAnsi="Calibri"/>
          <w:b/>
          <w:sz w:val="20"/>
          <w:szCs w:val="20"/>
        </w:rPr>
        <w:t>F</w:t>
      </w:r>
      <w:r w:rsidRPr="00143254">
        <w:rPr>
          <w:rFonts w:ascii="Calibri" w:hAnsi="Calibri"/>
          <w:b/>
          <w:sz w:val="20"/>
          <w:szCs w:val="20"/>
        </w:rPr>
        <w:t>uente</w:t>
      </w:r>
      <w:r w:rsidRPr="00143254">
        <w:rPr>
          <w:rFonts w:ascii="Calibri" w:hAnsi="Calibri"/>
          <w:sz w:val="20"/>
          <w:szCs w:val="20"/>
        </w:rPr>
        <w:t>: Secretaria de Hacienda en base a información provista por las jurisdicciones</w:t>
      </w:r>
      <w:r w:rsidR="00DE28F1">
        <w:rPr>
          <w:rFonts w:ascii="Calibri" w:hAnsi="Calibri"/>
          <w:sz w:val="20"/>
          <w:szCs w:val="20"/>
        </w:rPr>
        <w:t>.</w:t>
      </w:r>
    </w:p>
    <w:p w:rsidR="00436337" w:rsidRDefault="00436337" w:rsidP="00A22328">
      <w:pPr>
        <w:suppressAutoHyphens/>
        <w:jc w:val="both"/>
        <w:rPr>
          <w:rFonts w:asciiTheme="minorHAnsi" w:hAnsiTheme="minorHAnsi"/>
        </w:rPr>
      </w:pPr>
      <w:r>
        <w:rPr>
          <w:rFonts w:asciiTheme="minorHAnsi" w:hAnsiTheme="minorHAnsi"/>
        </w:rPr>
        <w:br w:type="page"/>
      </w:r>
    </w:p>
    <w:p w:rsidR="00436337" w:rsidRPr="005A5F68" w:rsidRDefault="00436337" w:rsidP="00436337">
      <w:pPr>
        <w:pStyle w:val="Ttulo1"/>
        <w:numPr>
          <w:ilvl w:val="0"/>
          <w:numId w:val="0"/>
        </w:numPr>
        <w:pBdr>
          <w:bottom w:val="single" w:sz="4" w:space="1" w:color="auto"/>
        </w:pBdr>
        <w:ind w:left="360"/>
      </w:pPr>
      <w:bookmarkStart w:id="38" w:name="_Toc532576019"/>
      <w:bookmarkStart w:id="39" w:name="_Toc532576465"/>
      <w:bookmarkStart w:id="40" w:name="_Toc532576666"/>
      <w:bookmarkStart w:id="41" w:name="_Toc957294"/>
      <w:bookmarkStart w:id="42" w:name="_Toc3367375"/>
      <w:r w:rsidRPr="005A5F68">
        <w:t>ANEXO: Esquema AIF</w:t>
      </w:r>
      <w:bookmarkEnd w:id="38"/>
      <w:bookmarkEnd w:id="39"/>
      <w:bookmarkEnd w:id="40"/>
      <w:bookmarkEnd w:id="41"/>
      <w:bookmarkEnd w:id="42"/>
    </w:p>
    <w:p w:rsidR="00436337" w:rsidRDefault="00436337" w:rsidP="00436337">
      <w:pPr>
        <w:suppressAutoHyphens/>
        <w:ind w:left="851" w:right="850"/>
        <w:jc w:val="center"/>
        <w:rPr>
          <w:rFonts w:asciiTheme="minorHAnsi" w:hAnsiTheme="minorHAnsi"/>
          <w:b/>
        </w:rPr>
      </w:pPr>
    </w:p>
    <w:p w:rsidR="00436337" w:rsidRDefault="00436337" w:rsidP="00436337">
      <w:pPr>
        <w:suppressAutoHyphens/>
        <w:ind w:left="851" w:right="850"/>
        <w:jc w:val="center"/>
        <w:rPr>
          <w:rFonts w:asciiTheme="minorHAnsi" w:hAnsiTheme="minorHAnsi"/>
        </w:rPr>
      </w:pPr>
      <w:r w:rsidRPr="00F133D6">
        <w:rPr>
          <w:rFonts w:asciiTheme="minorHAnsi" w:hAnsiTheme="minorHAnsi"/>
          <w:b/>
        </w:rPr>
        <w:t xml:space="preserve">Cuadro </w:t>
      </w:r>
      <w:r>
        <w:rPr>
          <w:rFonts w:asciiTheme="minorHAnsi" w:hAnsiTheme="minorHAnsi"/>
          <w:b/>
        </w:rPr>
        <w:t>5</w:t>
      </w:r>
      <w:r w:rsidRPr="00F133D6">
        <w:rPr>
          <w:rFonts w:asciiTheme="minorHAnsi" w:hAnsiTheme="minorHAnsi"/>
          <w:b/>
        </w:rPr>
        <w:t>.</w:t>
      </w:r>
      <w:r w:rsidRPr="00F133D6">
        <w:rPr>
          <w:rFonts w:asciiTheme="minorHAnsi" w:hAnsiTheme="minorHAnsi"/>
        </w:rPr>
        <w:t xml:space="preserve"> </w:t>
      </w:r>
      <w:r>
        <w:rPr>
          <w:rFonts w:asciiTheme="minorHAnsi" w:hAnsiTheme="minorHAnsi"/>
        </w:rPr>
        <w:t>Esquema Ahorro Inversión y Financiamiento</w:t>
      </w:r>
      <w:r w:rsidRPr="00F133D6">
        <w:rPr>
          <w:rFonts w:asciiTheme="minorHAnsi" w:hAnsiTheme="minorHAnsi"/>
        </w:rPr>
        <w:t xml:space="preserve"> de la APNF.</w:t>
      </w:r>
    </w:p>
    <w:p w:rsidR="00436337" w:rsidRPr="00F133D6" w:rsidRDefault="00B61E6C" w:rsidP="00436337">
      <w:pPr>
        <w:suppressAutoHyphens/>
        <w:spacing w:after="60"/>
        <w:jc w:val="center"/>
        <w:rPr>
          <w:rFonts w:asciiTheme="minorHAnsi" w:hAnsiTheme="minorHAnsi"/>
        </w:rPr>
      </w:pPr>
      <w:r>
        <w:rPr>
          <w:rFonts w:asciiTheme="minorHAnsi" w:hAnsiTheme="minorHAnsi"/>
        </w:rPr>
        <w:t xml:space="preserve">Primer </w:t>
      </w:r>
      <w:r w:rsidR="00436337">
        <w:rPr>
          <w:rFonts w:asciiTheme="minorHAnsi" w:hAnsiTheme="minorHAnsi"/>
        </w:rPr>
        <w:t>Trimestre 20</w:t>
      </w:r>
      <w:r w:rsidR="00706CD5">
        <w:rPr>
          <w:rFonts w:asciiTheme="minorHAnsi" w:hAnsiTheme="minorHAnsi"/>
        </w:rPr>
        <w:t>20</w:t>
      </w:r>
    </w:p>
    <w:p w:rsidR="00436337" w:rsidRDefault="00436337" w:rsidP="00436337">
      <w:pPr>
        <w:suppressAutoHyphens/>
        <w:spacing w:after="60"/>
        <w:ind w:left="851" w:right="850"/>
        <w:jc w:val="center"/>
        <w:rPr>
          <w:rFonts w:asciiTheme="minorHAnsi" w:hAnsiTheme="minorHAnsi"/>
        </w:rPr>
      </w:pPr>
      <w:r>
        <w:rPr>
          <w:rFonts w:asciiTheme="minorHAnsi" w:hAnsiTheme="minorHAnsi"/>
        </w:rPr>
        <w:t>B</w:t>
      </w:r>
      <w:r w:rsidRPr="00F133D6">
        <w:rPr>
          <w:rFonts w:asciiTheme="minorHAnsi" w:hAnsiTheme="minorHAnsi"/>
        </w:rPr>
        <w:t>ase devengado</w:t>
      </w:r>
      <w:r>
        <w:rPr>
          <w:rFonts w:asciiTheme="minorHAnsi" w:hAnsiTheme="minorHAnsi"/>
        </w:rPr>
        <w:t xml:space="preserve"> - En millones de pesos</w:t>
      </w:r>
    </w:p>
    <w:p w:rsidR="00436337" w:rsidRDefault="003C1E4C" w:rsidP="00436337">
      <w:pPr>
        <w:suppressAutoHyphens/>
        <w:jc w:val="center"/>
        <w:rPr>
          <w:rFonts w:asciiTheme="minorHAnsi" w:hAnsiTheme="minorHAnsi"/>
        </w:rPr>
      </w:pPr>
      <w:r w:rsidRPr="003C1E4C">
        <w:rPr>
          <w:noProof/>
          <w:lang w:val="es-AR" w:eastAsia="es-AR"/>
        </w:rPr>
        <w:drawing>
          <wp:inline distT="0" distB="0" distL="0" distR="0">
            <wp:extent cx="3188453" cy="75247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90672" cy="7529987"/>
                    </a:xfrm>
                    <a:prstGeom prst="rect">
                      <a:avLst/>
                    </a:prstGeom>
                    <a:noFill/>
                    <a:ln>
                      <a:noFill/>
                    </a:ln>
                  </pic:spPr>
                </pic:pic>
              </a:graphicData>
            </a:graphic>
          </wp:inline>
        </w:drawing>
      </w:r>
    </w:p>
    <w:p w:rsidR="00B61E6C" w:rsidRPr="00DB5695" w:rsidRDefault="00B61E6C" w:rsidP="00343E3B">
      <w:pPr>
        <w:suppressAutoHyphens/>
        <w:ind w:left="1843" w:right="1842"/>
        <w:jc w:val="both"/>
        <w:rPr>
          <w:rFonts w:asciiTheme="minorHAnsi" w:hAnsiTheme="minorHAnsi"/>
          <w:sz w:val="20"/>
          <w:szCs w:val="20"/>
        </w:rPr>
      </w:pPr>
      <w:r w:rsidRPr="00DB5695">
        <w:rPr>
          <w:rFonts w:asciiTheme="minorHAnsi" w:hAnsiTheme="minorHAnsi"/>
          <w:b/>
          <w:sz w:val="20"/>
          <w:szCs w:val="20"/>
        </w:rPr>
        <w:t>Fuente</w:t>
      </w:r>
      <w:r w:rsidRPr="00DB5695">
        <w:rPr>
          <w:rFonts w:asciiTheme="minorHAnsi" w:hAnsiTheme="minorHAnsi"/>
          <w:sz w:val="20"/>
          <w:szCs w:val="20"/>
        </w:rPr>
        <w:t xml:space="preserve">: Secretaría de Hacienda en base </w:t>
      </w:r>
      <w:r>
        <w:rPr>
          <w:rFonts w:asciiTheme="minorHAnsi" w:hAnsiTheme="minorHAnsi"/>
          <w:sz w:val="20"/>
          <w:szCs w:val="20"/>
        </w:rPr>
        <w:t>información provista por las jurisdicciones</w:t>
      </w:r>
    </w:p>
    <w:sectPr w:rsidR="00B61E6C" w:rsidRPr="00DB5695" w:rsidSect="00696972">
      <w:pgSz w:w="11907" w:h="16840" w:code="9"/>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20" w:rsidRDefault="009B4D20">
      <w:r>
        <w:separator/>
      </w:r>
    </w:p>
  </w:endnote>
  <w:endnote w:type="continuationSeparator" w:id="0">
    <w:p w:rsidR="009B4D20" w:rsidRDefault="009B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9D6B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B4D20" w:rsidRDefault="009B4D20" w:rsidP="006A33A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Pr="006E1993" w:rsidRDefault="009B4D20" w:rsidP="006E1993">
    <w:pPr>
      <w:pStyle w:val="Piedepgina"/>
      <w:jc w:val="right"/>
      <w:rPr>
        <w:rFonts w:asciiTheme="minorHAnsi" w:hAnsiTheme="minorHAnsi"/>
        <w:color w:val="595959" w:themeColor="text1" w:themeTint="A6"/>
      </w:rPr>
    </w:pPr>
    <w:r w:rsidRPr="006E1993">
      <w:rPr>
        <w:rFonts w:asciiTheme="minorHAnsi" w:hAnsiTheme="minorHAnsi"/>
        <w:color w:val="595959" w:themeColor="text1" w:themeTint="A6"/>
      </w:rPr>
      <w:t>______________________________________</w:t>
    </w:r>
    <w:r>
      <w:rPr>
        <w:rFonts w:asciiTheme="minorHAnsi" w:hAnsiTheme="minorHAnsi"/>
        <w:color w:val="595959" w:themeColor="text1" w:themeTint="A6"/>
      </w:rPr>
      <w:t>_______________________________</w:t>
    </w:r>
  </w:p>
  <w:p w:rsidR="009B4D20" w:rsidRDefault="009B4D20" w:rsidP="006E1993">
    <w:pPr>
      <w:pStyle w:val="Piedepgina"/>
      <w:jc w:val="right"/>
      <w:rPr>
        <w:rFonts w:asciiTheme="minorHAnsi" w:hAnsiTheme="minorHAnsi"/>
        <w:noProof/>
        <w:color w:val="595959" w:themeColor="text1" w:themeTint="A6"/>
        <w:sz w:val="18"/>
        <w:szCs w:val="18"/>
      </w:rPr>
    </w:pPr>
    <w:r w:rsidRPr="006E1993">
      <w:rPr>
        <w:rFonts w:asciiTheme="minorHAnsi" w:hAnsiTheme="minorHAnsi"/>
        <w:color w:val="595959" w:themeColor="text1" w:themeTint="A6"/>
      </w:rPr>
      <w:fldChar w:fldCharType="begin"/>
    </w:r>
    <w:r w:rsidRPr="006E1993">
      <w:rPr>
        <w:rFonts w:asciiTheme="minorHAnsi" w:hAnsiTheme="minorHAnsi"/>
        <w:color w:val="595959" w:themeColor="text1" w:themeTint="A6"/>
      </w:rPr>
      <w:instrText xml:space="preserve"> PAGE   \* MERGEFORMAT </w:instrText>
    </w:r>
    <w:r w:rsidRPr="006E1993">
      <w:rPr>
        <w:rFonts w:asciiTheme="minorHAnsi" w:hAnsiTheme="minorHAnsi"/>
        <w:color w:val="595959" w:themeColor="text1" w:themeTint="A6"/>
      </w:rPr>
      <w:fldChar w:fldCharType="separate"/>
    </w:r>
    <w:r w:rsidR="00745817">
      <w:rPr>
        <w:rFonts w:asciiTheme="minorHAnsi" w:hAnsiTheme="minorHAnsi"/>
        <w:noProof/>
        <w:color w:val="595959" w:themeColor="text1" w:themeTint="A6"/>
      </w:rPr>
      <w:t>2</w:t>
    </w:r>
    <w:r w:rsidRPr="006E1993">
      <w:rPr>
        <w:rFonts w:asciiTheme="minorHAnsi" w:hAnsiTheme="minorHAnsi"/>
        <w:noProof/>
        <w:color w:val="595959" w:themeColor="text1" w:themeTint="A6"/>
      </w:rPr>
      <w:fldChar w:fldCharType="end"/>
    </w:r>
    <w:r>
      <w:rPr>
        <w:rFonts w:asciiTheme="minorHAnsi" w:hAnsiTheme="minorHAnsi"/>
        <w:noProof/>
        <w:color w:val="595959" w:themeColor="text1" w:themeTint="A6"/>
      </w:rPr>
      <w:tab/>
    </w:r>
    <w:r>
      <w:rPr>
        <w:rFonts w:asciiTheme="minorHAnsi" w:hAnsiTheme="minorHAnsi"/>
        <w:noProof/>
        <w:color w:val="595959" w:themeColor="text1" w:themeTint="A6"/>
      </w:rPr>
      <w:tab/>
    </w:r>
    <w:r w:rsidRPr="00B64D16">
      <w:rPr>
        <w:rFonts w:asciiTheme="minorHAnsi" w:hAnsiTheme="minorHAnsi"/>
        <w:noProof/>
        <w:color w:val="595959" w:themeColor="text1" w:themeTint="A6"/>
        <w:sz w:val="18"/>
        <w:szCs w:val="18"/>
      </w:rPr>
      <w:t>INFORME DE COYUNTURA</w:t>
    </w:r>
    <w:r>
      <w:rPr>
        <w:rFonts w:asciiTheme="minorHAnsi" w:hAnsiTheme="minorHAnsi"/>
        <w:noProof/>
        <w:color w:val="595959" w:themeColor="text1" w:themeTint="A6"/>
        <w:sz w:val="18"/>
        <w:szCs w:val="18"/>
      </w:rPr>
      <w:t xml:space="preserve"> - I</w:t>
    </w:r>
    <w:r w:rsidRPr="00B64D16">
      <w:rPr>
        <w:rFonts w:asciiTheme="minorHAnsi" w:hAnsiTheme="minorHAnsi"/>
        <w:noProof/>
        <w:color w:val="595959" w:themeColor="text1" w:themeTint="A6"/>
        <w:sz w:val="18"/>
        <w:szCs w:val="18"/>
      </w:rPr>
      <w:t xml:space="preserve"> </w:t>
    </w:r>
    <w:r w:rsidR="00591900">
      <w:rPr>
        <w:rFonts w:asciiTheme="minorHAnsi" w:hAnsiTheme="minorHAnsi"/>
        <w:noProof/>
        <w:color w:val="595959" w:themeColor="text1" w:themeTint="A6"/>
        <w:sz w:val="18"/>
        <w:szCs w:val="18"/>
      </w:rPr>
      <w:t>trimestre</w:t>
    </w:r>
    <w:r>
      <w:rPr>
        <w:rFonts w:asciiTheme="minorHAnsi" w:hAnsiTheme="minorHAnsi"/>
        <w:noProof/>
        <w:color w:val="595959" w:themeColor="text1" w:themeTint="A6"/>
        <w:sz w:val="18"/>
        <w:szCs w:val="18"/>
      </w:rPr>
      <w:t xml:space="preserve"> 20</w:t>
    </w:r>
    <w:r w:rsidR="00DD7C98">
      <w:rPr>
        <w:rFonts w:asciiTheme="minorHAnsi" w:hAnsiTheme="minorHAnsi"/>
        <w:noProof/>
        <w:color w:val="595959" w:themeColor="text1" w:themeTint="A6"/>
        <w:sz w:val="18"/>
        <w:szCs w:val="18"/>
      </w:rPr>
      <w:t>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pPr>
      <w:pStyle w:val="Piedepgina"/>
      <w:jc w:val="right"/>
    </w:pPr>
  </w:p>
  <w:p w:rsidR="009B4D20" w:rsidRDefault="009B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20" w:rsidRDefault="009B4D20">
      <w:r>
        <w:separator/>
      </w:r>
    </w:p>
  </w:footnote>
  <w:footnote w:type="continuationSeparator" w:id="0">
    <w:p w:rsidR="009B4D20" w:rsidRDefault="009B4D20">
      <w:r>
        <w:continuationSeparator/>
      </w:r>
    </w:p>
  </w:footnote>
  <w:footnote w:id="1">
    <w:p w:rsidR="009B4D20" w:rsidRPr="00696671" w:rsidRDefault="009B4D20" w:rsidP="00132F9F">
      <w:pPr>
        <w:pStyle w:val="Textonotapie"/>
        <w:rPr>
          <w:rFonts w:asciiTheme="minorHAnsi" w:hAnsiTheme="minorHAnsi" w:cstheme="minorHAnsi"/>
        </w:rPr>
      </w:pPr>
      <w:r w:rsidRPr="00696671">
        <w:rPr>
          <w:rStyle w:val="Refdenotaalpie"/>
          <w:rFonts w:asciiTheme="minorHAnsi" w:hAnsiTheme="minorHAnsi" w:cstheme="minorHAnsi"/>
        </w:rPr>
        <w:footnoteRef/>
      </w:r>
      <w:r w:rsidRPr="00696671">
        <w:rPr>
          <w:rFonts w:asciiTheme="minorHAnsi" w:hAnsiTheme="minorHAnsi" w:cstheme="minorHAnsi"/>
        </w:rPr>
        <w:t xml:space="preserve"> Para algunas Jurisdicciones la información presentada constituye una proyección que se actualiza a medida que divulgan sus datos. En atención a ello se destaca que el presente informe se efectúa con los datos de ejecución presupuestaria </w:t>
      </w:r>
      <w:r w:rsidR="001379B6" w:rsidRPr="00696671">
        <w:rPr>
          <w:rFonts w:asciiTheme="minorHAnsi" w:hAnsiTheme="minorHAnsi" w:cstheme="minorHAnsi"/>
        </w:rPr>
        <w:t xml:space="preserve">publicados al </w:t>
      </w:r>
      <w:r w:rsidR="005F33B4">
        <w:rPr>
          <w:rFonts w:asciiTheme="minorHAnsi" w:hAnsiTheme="minorHAnsi" w:cstheme="minorHAnsi"/>
        </w:rPr>
        <w:t xml:space="preserve">mes de </w:t>
      </w:r>
      <w:r w:rsidR="00745817">
        <w:rPr>
          <w:rFonts w:asciiTheme="minorHAnsi" w:hAnsiTheme="minorHAnsi" w:cstheme="minorHAnsi"/>
        </w:rPr>
        <w:t>agosto</w:t>
      </w:r>
      <w:bookmarkStart w:id="5" w:name="_GoBack"/>
      <w:bookmarkEnd w:id="5"/>
      <w:r w:rsidR="005F33B4">
        <w:rPr>
          <w:rFonts w:asciiTheme="minorHAnsi" w:hAnsiTheme="minorHAnsi" w:cstheme="minorHAnsi"/>
        </w:rPr>
        <w:t xml:space="preserve"> de 20</w:t>
      </w:r>
      <w:r w:rsidR="009C1F63">
        <w:rPr>
          <w:rFonts w:asciiTheme="minorHAnsi" w:hAnsiTheme="minorHAnsi" w:cstheme="minorHAnsi"/>
        </w:rPr>
        <w:t>2</w:t>
      </w:r>
      <w:r w:rsidR="000C089A">
        <w:rPr>
          <w:rFonts w:asciiTheme="minorHAnsi" w:hAnsiTheme="minorHAnsi" w:cstheme="minorHAnsi"/>
        </w:rPr>
        <w:t>0</w:t>
      </w:r>
      <w:r w:rsidRPr="00696671">
        <w:rPr>
          <w:rFonts w:asciiTheme="minorHAnsi" w:hAnsiTheme="minorHAnsi" w:cstheme="minorHAnsi"/>
        </w:rPr>
        <w:t>.</w:t>
      </w:r>
    </w:p>
  </w:footnote>
  <w:footnote w:id="2">
    <w:p w:rsidR="00D85970" w:rsidRDefault="00D85970" w:rsidP="00D85970">
      <w:pPr>
        <w:jc w:val="both"/>
        <w:rPr>
          <w:rFonts w:asciiTheme="minorHAnsi" w:hAnsiTheme="minorHAnsi"/>
          <w:sz w:val="20"/>
        </w:rPr>
      </w:pPr>
      <w:r>
        <w:rPr>
          <w:rStyle w:val="Refdenotaalpie"/>
        </w:rPr>
        <w:footnoteRef/>
      </w:r>
      <w:r>
        <w:t xml:space="preserve"> </w:t>
      </w:r>
      <w:r>
        <w:rPr>
          <w:rFonts w:asciiTheme="minorHAnsi" w:hAnsiTheme="minorHAnsi"/>
          <w:sz w:val="20"/>
        </w:rPr>
        <w:t xml:space="preserve">En cumplimiento del Consenso Fiscal aprobado por la Ley Nº 27.429, a partir </w:t>
      </w:r>
      <w:r w:rsidR="00727BDF">
        <w:rPr>
          <w:rFonts w:asciiTheme="minorHAnsi" w:hAnsiTheme="minorHAnsi"/>
          <w:sz w:val="20"/>
        </w:rPr>
        <w:t xml:space="preserve">del 01/01/2018 la Ley Nº 27.432: </w:t>
      </w:r>
      <w:r w:rsidR="00727BDF" w:rsidRPr="00727BDF">
        <w:rPr>
          <w:rFonts w:asciiTheme="minorHAnsi" w:hAnsiTheme="minorHAnsi"/>
          <w:i/>
          <w:sz w:val="20"/>
        </w:rPr>
        <w:t>(sigue</w:t>
      </w:r>
      <w:r w:rsidR="00727BDF">
        <w:rPr>
          <w:rFonts w:asciiTheme="minorHAnsi" w:hAnsiTheme="minorHAnsi"/>
          <w:i/>
          <w:sz w:val="20"/>
        </w:rPr>
        <w:t xml:space="preserve"> en la pág. siguiente</w:t>
      </w:r>
      <w:r w:rsidR="00727BDF" w:rsidRPr="00727BDF">
        <w:rPr>
          <w:rFonts w:asciiTheme="minorHAnsi" w:hAnsiTheme="minorHAnsi"/>
          <w:i/>
          <w:sz w:val="20"/>
        </w:rPr>
        <w:t>)</w:t>
      </w:r>
    </w:p>
    <w:p w:rsidR="00D85970" w:rsidRDefault="00D85970" w:rsidP="00D85970">
      <w:pPr>
        <w:pStyle w:val="Prrafodelista"/>
        <w:numPr>
          <w:ilvl w:val="0"/>
          <w:numId w:val="46"/>
        </w:numPr>
        <w:jc w:val="both"/>
        <w:rPr>
          <w:rFonts w:asciiTheme="minorHAnsi" w:hAnsiTheme="minorHAnsi"/>
          <w:sz w:val="20"/>
        </w:rPr>
      </w:pPr>
      <w:r>
        <w:rPr>
          <w:rFonts w:asciiTheme="minorHAnsi" w:hAnsiTheme="minorHAnsi"/>
          <w:sz w:val="20"/>
        </w:rPr>
        <w:t>deroga el artículo 104 de la Ley del Impuesto a las Ganancias, que establecía las afectaciones específicas del Impuesto a las Ganancias. En consecuencia 100% de la recaudación de este impuesto se incorpora a la masa coparticipable Ley Nº 23.548 (hasta 2017</w:t>
      </w:r>
      <w:r w:rsidR="0050636D">
        <w:rPr>
          <w:rFonts w:asciiTheme="minorHAnsi" w:hAnsiTheme="minorHAnsi"/>
          <w:sz w:val="20"/>
        </w:rPr>
        <w:t>,</w:t>
      </w:r>
      <w:r>
        <w:rPr>
          <w:rFonts w:asciiTheme="minorHAnsi" w:hAnsiTheme="minorHAnsi"/>
          <w:sz w:val="20"/>
        </w:rPr>
        <w:t xml:space="preserve"> 64% del impuesto integraba la masa coparticipable y 36% financiaba las afectaciones específicas dispuestas por el mencionado artículo 104°).</w:t>
      </w:r>
    </w:p>
    <w:p w:rsidR="00D85970" w:rsidRDefault="00D85970" w:rsidP="00D85970">
      <w:pPr>
        <w:pStyle w:val="Prrafodelista"/>
        <w:numPr>
          <w:ilvl w:val="0"/>
          <w:numId w:val="46"/>
        </w:numPr>
        <w:jc w:val="both"/>
        <w:rPr>
          <w:rFonts w:asciiTheme="minorHAnsi" w:hAnsiTheme="minorHAnsi"/>
          <w:sz w:val="20"/>
        </w:rPr>
      </w:pPr>
      <w:r>
        <w:rPr>
          <w:rFonts w:asciiTheme="minorHAnsi" w:hAnsiTheme="minorHAnsi"/>
          <w:sz w:val="20"/>
        </w:rPr>
        <w:t>dispone la afectación de 100% de la recaudación del Impuesto a los Débitos y Créditos en Cuenta Corriente a la ANSES (hasta 2017</w:t>
      </w:r>
      <w:r w:rsidR="0050636D">
        <w:rPr>
          <w:rFonts w:asciiTheme="minorHAnsi" w:hAnsiTheme="minorHAnsi"/>
          <w:sz w:val="20"/>
        </w:rPr>
        <w:t>,</w:t>
      </w:r>
      <w:r>
        <w:rPr>
          <w:rFonts w:asciiTheme="minorHAnsi" w:hAnsiTheme="minorHAnsi"/>
          <w:sz w:val="20"/>
        </w:rPr>
        <w:t xml:space="preserve"> 30% de la recaudación de este impuesto integraba la masa coparticipable).</w:t>
      </w:r>
    </w:p>
  </w:footnote>
  <w:footnote w:id="3">
    <w:p w:rsidR="00E40A94" w:rsidRDefault="00E40A94" w:rsidP="00E40A94">
      <w:pPr>
        <w:pStyle w:val="Textonotapie"/>
        <w:rPr>
          <w:rFonts w:asciiTheme="minorHAnsi" w:hAnsiTheme="minorHAnsi" w:cstheme="minorHAnsi"/>
          <w:lang w:val="es-AR"/>
        </w:rPr>
      </w:pPr>
      <w:r>
        <w:rPr>
          <w:rStyle w:val="Refdenotaalpie"/>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lang w:val="es-AR"/>
        </w:rPr>
        <w:t>La CABA vendió terrenos del Tiro Federal – Polígono A (Ley N° 5.558).</w:t>
      </w:r>
    </w:p>
  </w:footnote>
  <w:footnote w:id="4">
    <w:p w:rsidR="003744A7" w:rsidRPr="007B48A7" w:rsidRDefault="003744A7" w:rsidP="003744A7">
      <w:pPr>
        <w:pStyle w:val="Textonotapie"/>
        <w:jc w:val="both"/>
        <w:rPr>
          <w:rFonts w:asciiTheme="minorHAnsi" w:hAnsiTheme="minorHAnsi" w:cstheme="minorHAnsi"/>
        </w:rPr>
      </w:pPr>
      <w:r w:rsidRPr="007B48A7">
        <w:rPr>
          <w:rStyle w:val="Refdenotaalpie"/>
          <w:rFonts w:asciiTheme="minorHAnsi" w:hAnsiTheme="minorHAnsi" w:cstheme="minorHAnsi"/>
        </w:rPr>
        <w:footnoteRef/>
      </w:r>
      <w:r w:rsidRPr="007B48A7">
        <w:rPr>
          <w:rFonts w:asciiTheme="minorHAnsi" w:hAnsiTheme="minorHAnsi" w:cstheme="minorHAnsi"/>
        </w:rPr>
        <w:t xml:space="preserve"> Incluye Ingresos Tributarios Provinciales, No Tributarios, Contribuciones a la Seguridad Social, Rentas de la Propiedad, Venta de Bienes y Servicios, Recursos Propios de Capital y Disminución de Inversión Financiera.</w:t>
      </w:r>
    </w:p>
  </w:footnote>
  <w:footnote w:id="5">
    <w:p w:rsidR="00EC0D93" w:rsidRPr="00696671" w:rsidRDefault="00EC0D93" w:rsidP="00EC0D93">
      <w:pPr>
        <w:pStyle w:val="Textonotapie"/>
        <w:jc w:val="both"/>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w:t>
      </w:r>
      <w:r w:rsidRPr="00696671">
        <w:rPr>
          <w:rFonts w:asciiTheme="minorHAnsi" w:hAnsiTheme="minorHAnsi" w:cstheme="minorHAnsi"/>
          <w:lang w:val="es-AR"/>
        </w:rPr>
        <w:t>Las Provincias que mantienen bajo su jurisdicción los gastos previsionales, es decir, que no transfirieron sus Cajas de Jubilaciones y Pensiones al Gobierno Nacional son: Buenos Aires, Córdoba, Corrientes, Chaco, Chubut, Entre Ríos, Formosa, La Pampa, Misiones, Neuquén, Santa Cru</w:t>
      </w:r>
      <w:r>
        <w:rPr>
          <w:rFonts w:asciiTheme="minorHAnsi" w:hAnsiTheme="minorHAnsi" w:cstheme="minorHAnsi"/>
          <w:lang w:val="es-AR"/>
        </w:rPr>
        <w:t>z, Santa Fe y Tierra del Fuego.</w:t>
      </w:r>
    </w:p>
  </w:footnote>
  <w:footnote w:id="6">
    <w:p w:rsidR="00DE65F9" w:rsidRPr="003744A7" w:rsidRDefault="00DE65F9" w:rsidP="00DE65F9">
      <w:pPr>
        <w:pStyle w:val="Textonotapie"/>
        <w:rPr>
          <w:rFonts w:asciiTheme="minorHAnsi" w:hAnsiTheme="minorHAnsi" w:cstheme="minorHAnsi"/>
          <w:lang w:val="es-AR"/>
        </w:rPr>
      </w:pPr>
      <w:r w:rsidRPr="003744A7">
        <w:rPr>
          <w:rStyle w:val="Refdenotaalpie"/>
          <w:rFonts w:asciiTheme="minorHAnsi" w:hAnsiTheme="minorHAnsi" w:cstheme="minorHAnsi"/>
        </w:rPr>
        <w:footnoteRef/>
      </w:r>
      <w:r w:rsidRPr="003744A7">
        <w:rPr>
          <w:rFonts w:asciiTheme="minorHAnsi" w:hAnsiTheme="minorHAnsi" w:cstheme="minorHAnsi"/>
        </w:rPr>
        <w:t xml:space="preserve"> A partir 2019 se implementa el Consenso Fiscal 2018 (Ley N° 27.469).</w:t>
      </w:r>
    </w:p>
  </w:footnote>
  <w:footnote w:id="7">
    <w:p w:rsidR="00FE5BE5" w:rsidRPr="00696671" w:rsidRDefault="00FE5BE5" w:rsidP="00FE5BE5">
      <w:pPr>
        <w:pStyle w:val="Textonotapie"/>
        <w:rPr>
          <w:rFonts w:asciiTheme="minorHAnsi" w:hAnsiTheme="minorHAnsi" w:cstheme="minorHAnsi"/>
          <w:lang w:val="es-AR"/>
        </w:rPr>
      </w:pPr>
      <w:r w:rsidRPr="00696671">
        <w:rPr>
          <w:rStyle w:val="Refdenotaalpie"/>
          <w:rFonts w:asciiTheme="minorHAnsi" w:hAnsiTheme="minorHAnsi" w:cstheme="minorHAnsi"/>
        </w:rPr>
        <w:footnoteRef/>
      </w:r>
      <w:r w:rsidRPr="00696671">
        <w:rPr>
          <w:rFonts w:asciiTheme="minorHAnsi" w:hAnsiTheme="minorHAnsi" w:cstheme="minorHAnsi"/>
        </w:rPr>
        <w:t xml:space="preserve"> Cabe señalar que la función Seguridad Social en aquellas provincias que han transferido sus cajas registran egresos derivados de otros conceptos (pensiones, retiros y otras pensiones no contributivas).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D20" w:rsidRDefault="009B4D20" w:rsidP="00EC0703">
    <w:pPr>
      <w:pStyle w:val="Encabezado"/>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F0DB2"/>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 w15:restartNumberingAfterBreak="0">
    <w:nsid w:val="0B352F19"/>
    <w:multiLevelType w:val="hybridMultilevel"/>
    <w:tmpl w:val="3864D354"/>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EE347A9"/>
    <w:multiLevelType w:val="hybridMultilevel"/>
    <w:tmpl w:val="3E9AF40E"/>
    <w:lvl w:ilvl="0" w:tplc="51D4B48E">
      <w:start w:val="1"/>
      <w:numFmt w:val="upperRoman"/>
      <w:pStyle w:val="Ttulo1"/>
      <w:lvlText w:val="%1."/>
      <w:lvlJc w:val="left"/>
      <w:pPr>
        <w:ind w:left="1080" w:hanging="72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FA7368E"/>
    <w:multiLevelType w:val="hybridMultilevel"/>
    <w:tmpl w:val="643476D0"/>
    <w:lvl w:ilvl="0" w:tplc="4830CB4E">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0FB95335"/>
    <w:multiLevelType w:val="hybridMultilevel"/>
    <w:tmpl w:val="1F8C97F2"/>
    <w:lvl w:ilvl="0" w:tplc="9C74966E">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28F3515"/>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4AD73D6"/>
    <w:multiLevelType w:val="hybridMultilevel"/>
    <w:tmpl w:val="F698E8C2"/>
    <w:lvl w:ilvl="0" w:tplc="2058378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FEC4807"/>
    <w:multiLevelType w:val="hybridMultilevel"/>
    <w:tmpl w:val="BE2AF50E"/>
    <w:lvl w:ilvl="0" w:tplc="C6C655E4">
      <w:start w:val="1"/>
      <w:numFmt w:val="upperRoman"/>
      <w:lvlText w:val="%1."/>
      <w:lvlJc w:val="left"/>
      <w:pPr>
        <w:tabs>
          <w:tab w:val="num" w:pos="1080"/>
        </w:tabs>
        <w:ind w:left="1080" w:hanging="72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13408D5"/>
    <w:multiLevelType w:val="hybridMultilevel"/>
    <w:tmpl w:val="6A70D060"/>
    <w:lvl w:ilvl="0" w:tplc="43C692B4">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9" w15:restartNumberingAfterBreak="0">
    <w:nsid w:val="222233ED"/>
    <w:multiLevelType w:val="hybridMultilevel"/>
    <w:tmpl w:val="27C2ABFC"/>
    <w:lvl w:ilvl="0" w:tplc="A0AA1858">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35D7C"/>
    <w:multiLevelType w:val="hybridMultilevel"/>
    <w:tmpl w:val="89809932"/>
    <w:lvl w:ilvl="0" w:tplc="4FACE1AE">
      <w:start w:val="4"/>
      <w:numFmt w:val="decimal"/>
      <w:lvlText w:val="%1."/>
      <w:lvlJc w:val="left"/>
      <w:pPr>
        <w:ind w:left="720" w:hanging="360"/>
      </w:pPr>
      <w:rPr>
        <w:rFonts w:hint="default"/>
        <w:b/>
        <w:sz w:val="32"/>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5D5233F"/>
    <w:multiLevelType w:val="hybridMultilevel"/>
    <w:tmpl w:val="AFA83C3E"/>
    <w:lvl w:ilvl="0" w:tplc="51D4B48E">
      <w:start w:val="1"/>
      <w:numFmt w:val="upperRoman"/>
      <w:lvlText w:val="%1."/>
      <w:lvlJc w:val="left"/>
      <w:pPr>
        <w:ind w:left="1080" w:hanging="720"/>
      </w:pPr>
      <w:rPr>
        <w:rFonts w:hint="default"/>
      </w:rPr>
    </w:lvl>
    <w:lvl w:ilvl="1" w:tplc="6ED8E1B8">
      <w:start w:val="1"/>
      <w:numFmt w:val="decimal"/>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77A2EE8"/>
    <w:multiLevelType w:val="hybridMultilevel"/>
    <w:tmpl w:val="EF80C268"/>
    <w:lvl w:ilvl="0" w:tplc="2C0A000F">
      <w:start w:val="2"/>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B7B4F8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4" w15:restartNumberingAfterBreak="0">
    <w:nsid w:val="2DBB0834"/>
    <w:multiLevelType w:val="hybridMultilevel"/>
    <w:tmpl w:val="E30CBF94"/>
    <w:lvl w:ilvl="0" w:tplc="00F8A326">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30573EAB"/>
    <w:multiLevelType w:val="multilevel"/>
    <w:tmpl w:val="09101C56"/>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5932E7"/>
    <w:multiLevelType w:val="hybridMultilevel"/>
    <w:tmpl w:val="387AFDA0"/>
    <w:lvl w:ilvl="0" w:tplc="C656859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25A40DC"/>
    <w:multiLevelType w:val="multilevel"/>
    <w:tmpl w:val="E03019DC"/>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5173A00"/>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46DC35A6"/>
    <w:multiLevelType w:val="hybridMultilevel"/>
    <w:tmpl w:val="813EC226"/>
    <w:lvl w:ilvl="0" w:tplc="72EC4B5C">
      <w:start w:val="3"/>
      <w:numFmt w:val="upperRoman"/>
      <w:lvlText w:val="%1."/>
      <w:lvlJc w:val="left"/>
      <w:pPr>
        <w:ind w:left="1800" w:hanging="720"/>
      </w:pPr>
      <w:rPr>
        <w:rFonts w:hint="default"/>
        <w:color w:val="595959" w:themeColor="text1" w:themeTint="A6"/>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0" w15:restartNumberingAfterBreak="0">
    <w:nsid w:val="4B5B16BA"/>
    <w:multiLevelType w:val="multilevel"/>
    <w:tmpl w:val="32543F38"/>
    <w:lvl w:ilvl="0">
      <w:start w:val="2"/>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50005D37"/>
    <w:multiLevelType w:val="hybridMultilevel"/>
    <w:tmpl w:val="896EE49A"/>
    <w:lvl w:ilvl="0" w:tplc="8B746B58">
      <w:start w:val="1"/>
      <w:numFmt w:val="upperRoman"/>
      <w:lvlText w:val="%1."/>
      <w:lvlJc w:val="left"/>
      <w:pPr>
        <w:ind w:left="1080" w:hanging="720"/>
      </w:pPr>
      <w:rPr>
        <w:rFonts w:hint="default"/>
        <w:sz w:val="28"/>
        <w:szCs w:val="28"/>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569019BA"/>
    <w:multiLevelType w:val="hybridMultilevel"/>
    <w:tmpl w:val="283AA0A4"/>
    <w:lvl w:ilvl="0" w:tplc="2CF646DA">
      <w:start w:val="1"/>
      <w:numFmt w:val="decimal"/>
      <w:lvlText w:val="%1."/>
      <w:lvlJc w:val="left"/>
      <w:pPr>
        <w:ind w:left="720" w:hanging="360"/>
      </w:pPr>
      <w:rPr>
        <w:rFonts w:hint="default"/>
        <w:color w:val="595959" w:themeColor="text1" w:themeTint="A6"/>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5A0E194B"/>
    <w:multiLevelType w:val="multilevel"/>
    <w:tmpl w:val="EF74FBC2"/>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8C77811"/>
    <w:multiLevelType w:val="hybridMultilevel"/>
    <w:tmpl w:val="95BE3E1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6CE01F79"/>
    <w:multiLevelType w:val="hybridMultilevel"/>
    <w:tmpl w:val="8C04E32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D226DB2"/>
    <w:multiLevelType w:val="hybridMultilevel"/>
    <w:tmpl w:val="54CEC820"/>
    <w:lvl w:ilvl="0" w:tplc="A4F82D4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E256192"/>
    <w:multiLevelType w:val="hybridMultilevel"/>
    <w:tmpl w:val="7B165E00"/>
    <w:lvl w:ilvl="0" w:tplc="2F3692BA">
      <w:start w:val="2"/>
      <w:numFmt w:val="bullet"/>
      <w:lvlText w:val=""/>
      <w:lvlJc w:val="left"/>
      <w:pPr>
        <w:ind w:left="720" w:hanging="360"/>
      </w:pPr>
      <w:rPr>
        <w:rFonts w:ascii="Symbol" w:eastAsia="Times New Roman" w:hAnsi="Symbol" w:cs="Arial" w:hint="default"/>
        <w:sz w:val="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F9C1339"/>
    <w:multiLevelType w:val="hybridMultilevel"/>
    <w:tmpl w:val="23A4BC1A"/>
    <w:lvl w:ilvl="0" w:tplc="BE5ED522">
      <w:start w:val="3"/>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0876B7"/>
    <w:multiLevelType w:val="multilevel"/>
    <w:tmpl w:val="868E97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0" w15:restartNumberingAfterBreak="0">
    <w:nsid w:val="73C46DE5"/>
    <w:multiLevelType w:val="hybridMultilevel"/>
    <w:tmpl w:val="32568C0E"/>
    <w:lvl w:ilvl="0" w:tplc="9BA0DEBC">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75FC0305"/>
    <w:multiLevelType w:val="hybridMultilevel"/>
    <w:tmpl w:val="08424C2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2" w15:restartNumberingAfterBreak="0">
    <w:nsid w:val="7C354131"/>
    <w:multiLevelType w:val="hybridMultilevel"/>
    <w:tmpl w:val="BF68A070"/>
    <w:lvl w:ilvl="0" w:tplc="2C0A000F">
      <w:start w:val="4"/>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9"/>
  </w:num>
  <w:num w:numId="2">
    <w:abstractNumId w:val="28"/>
  </w:num>
  <w:num w:numId="3">
    <w:abstractNumId w:val="6"/>
  </w:num>
  <w:num w:numId="4">
    <w:abstractNumId w:val="1"/>
  </w:num>
  <w:num w:numId="5">
    <w:abstractNumId w:val="7"/>
  </w:num>
  <w:num w:numId="6">
    <w:abstractNumId w:val="16"/>
  </w:num>
  <w:num w:numId="7">
    <w:abstractNumId w:val="15"/>
  </w:num>
  <w:num w:numId="8">
    <w:abstractNumId w:val="25"/>
  </w:num>
  <w:num w:numId="9">
    <w:abstractNumId w:val="10"/>
  </w:num>
  <w:num w:numId="10">
    <w:abstractNumId w:val="24"/>
  </w:num>
  <w:num w:numId="11">
    <w:abstractNumId w:val="5"/>
  </w:num>
  <w:num w:numId="12">
    <w:abstractNumId w:val="21"/>
  </w:num>
  <w:num w:numId="13">
    <w:abstractNumId w:val="18"/>
  </w:num>
  <w:num w:numId="14">
    <w:abstractNumId w:val="12"/>
  </w:num>
  <w:num w:numId="15">
    <w:abstractNumId w:val="32"/>
  </w:num>
  <w:num w:numId="16">
    <w:abstractNumId w:val="17"/>
  </w:num>
  <w:num w:numId="17">
    <w:abstractNumId w:val="20"/>
  </w:num>
  <w:num w:numId="18">
    <w:abstractNumId w:val="23"/>
  </w:num>
  <w:num w:numId="19">
    <w:abstractNumId w:val="0"/>
  </w:num>
  <w:num w:numId="20">
    <w:abstractNumId w:val="29"/>
  </w:num>
  <w:num w:numId="21">
    <w:abstractNumId w:val="13"/>
  </w:num>
  <w:num w:numId="22">
    <w:abstractNumId w:val="27"/>
  </w:num>
  <w:num w:numId="23">
    <w:abstractNumId w:val="22"/>
  </w:num>
  <w:num w:numId="24">
    <w:abstractNumId w:val="4"/>
  </w:num>
  <w:num w:numId="25">
    <w:abstractNumId w:val="2"/>
  </w:num>
  <w:num w:numId="26">
    <w:abstractNumId w:val="19"/>
  </w:num>
  <w:num w:numId="27">
    <w:abstractNumId w:val="8"/>
  </w:num>
  <w:num w:numId="28">
    <w:abstractNumId w:val="2"/>
  </w:num>
  <w:num w:numId="29">
    <w:abstractNumId w:val="2"/>
  </w:num>
  <w:num w:numId="30">
    <w:abstractNumId w:val="11"/>
  </w:num>
  <w:num w:numId="31">
    <w:abstractNumId w:val="3"/>
  </w:num>
  <w:num w:numId="32">
    <w:abstractNumId w:val="11"/>
  </w:num>
  <w:num w:numId="33">
    <w:abstractNumId w:val="2"/>
  </w:num>
  <w:num w:numId="34">
    <w:abstractNumId w:val="26"/>
  </w:num>
  <w:num w:numId="35">
    <w:abstractNumId w:val="2"/>
  </w:num>
  <w:num w:numId="36">
    <w:abstractNumId w:val="2"/>
  </w:num>
  <w:num w:numId="37">
    <w:abstractNumId w:val="30"/>
  </w:num>
  <w:num w:numId="38">
    <w:abstractNumId w:val="14"/>
  </w:num>
  <w:num w:numId="39">
    <w:abstractNumId w:val="14"/>
  </w:num>
  <w:num w:numId="40">
    <w:abstractNumId w:val="14"/>
  </w:num>
  <w:num w:numId="41">
    <w:abstractNumId w:val="14"/>
  </w:num>
  <w:num w:numId="42">
    <w:abstractNumId w:val="2"/>
  </w:num>
  <w:num w:numId="43">
    <w:abstractNumId w:val="2"/>
  </w:num>
  <w:num w:numId="44">
    <w:abstractNumId w:val="2"/>
  </w:num>
  <w:num w:numId="45">
    <w:abstractNumId w:val="2"/>
  </w:num>
  <w:num w:numId="46">
    <w:abstractNumId w:val="31"/>
  </w:num>
  <w:num w:numId="47">
    <w:abstractNumId w:val="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128001">
      <o:colormru v:ext="edit" colors="#06c"/>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703"/>
    <w:rsid w:val="00000B01"/>
    <w:rsid w:val="00003262"/>
    <w:rsid w:val="00005B8D"/>
    <w:rsid w:val="00006415"/>
    <w:rsid w:val="0000691A"/>
    <w:rsid w:val="00006FFE"/>
    <w:rsid w:val="000070C0"/>
    <w:rsid w:val="00007FE3"/>
    <w:rsid w:val="00010650"/>
    <w:rsid w:val="00011A9E"/>
    <w:rsid w:val="00012CF8"/>
    <w:rsid w:val="0001442A"/>
    <w:rsid w:val="00015A46"/>
    <w:rsid w:val="00016B65"/>
    <w:rsid w:val="00017E9B"/>
    <w:rsid w:val="000203BE"/>
    <w:rsid w:val="00021206"/>
    <w:rsid w:val="0002129C"/>
    <w:rsid w:val="00021922"/>
    <w:rsid w:val="000226DD"/>
    <w:rsid w:val="000228AE"/>
    <w:rsid w:val="00022CA8"/>
    <w:rsid w:val="00023A01"/>
    <w:rsid w:val="0002551C"/>
    <w:rsid w:val="000269B4"/>
    <w:rsid w:val="00027D12"/>
    <w:rsid w:val="0003061E"/>
    <w:rsid w:val="00030B5B"/>
    <w:rsid w:val="000314F5"/>
    <w:rsid w:val="00033A94"/>
    <w:rsid w:val="00035B7A"/>
    <w:rsid w:val="00036127"/>
    <w:rsid w:val="0004003A"/>
    <w:rsid w:val="00040431"/>
    <w:rsid w:val="00040D0A"/>
    <w:rsid w:val="00041505"/>
    <w:rsid w:val="00041E13"/>
    <w:rsid w:val="00042FC5"/>
    <w:rsid w:val="00044950"/>
    <w:rsid w:val="0004598E"/>
    <w:rsid w:val="00045B8F"/>
    <w:rsid w:val="000467AA"/>
    <w:rsid w:val="00046D11"/>
    <w:rsid w:val="00047C4B"/>
    <w:rsid w:val="0005057E"/>
    <w:rsid w:val="000511E3"/>
    <w:rsid w:val="00052871"/>
    <w:rsid w:val="000545D3"/>
    <w:rsid w:val="00061BF8"/>
    <w:rsid w:val="000621E3"/>
    <w:rsid w:val="0006246B"/>
    <w:rsid w:val="00062B32"/>
    <w:rsid w:val="00063496"/>
    <w:rsid w:val="00063BAC"/>
    <w:rsid w:val="00063F07"/>
    <w:rsid w:val="0006592F"/>
    <w:rsid w:val="0006663A"/>
    <w:rsid w:val="0006792C"/>
    <w:rsid w:val="00070F4E"/>
    <w:rsid w:val="000713BA"/>
    <w:rsid w:val="000716F2"/>
    <w:rsid w:val="0007326B"/>
    <w:rsid w:val="000745B2"/>
    <w:rsid w:val="0007490F"/>
    <w:rsid w:val="00075A36"/>
    <w:rsid w:val="00077161"/>
    <w:rsid w:val="00081E2C"/>
    <w:rsid w:val="00082151"/>
    <w:rsid w:val="000834B3"/>
    <w:rsid w:val="0008397B"/>
    <w:rsid w:val="00083E05"/>
    <w:rsid w:val="000847FA"/>
    <w:rsid w:val="00084B6C"/>
    <w:rsid w:val="00085373"/>
    <w:rsid w:val="00086845"/>
    <w:rsid w:val="0008730A"/>
    <w:rsid w:val="00087761"/>
    <w:rsid w:val="00087782"/>
    <w:rsid w:val="000906E1"/>
    <w:rsid w:val="00090C89"/>
    <w:rsid w:val="00090F74"/>
    <w:rsid w:val="00090FA1"/>
    <w:rsid w:val="00091393"/>
    <w:rsid w:val="00092001"/>
    <w:rsid w:val="00092275"/>
    <w:rsid w:val="000923E1"/>
    <w:rsid w:val="000932B2"/>
    <w:rsid w:val="00094442"/>
    <w:rsid w:val="00096670"/>
    <w:rsid w:val="000971AB"/>
    <w:rsid w:val="000A05E5"/>
    <w:rsid w:val="000A06CC"/>
    <w:rsid w:val="000A0B80"/>
    <w:rsid w:val="000A2758"/>
    <w:rsid w:val="000A2CA7"/>
    <w:rsid w:val="000B0A1E"/>
    <w:rsid w:val="000B1367"/>
    <w:rsid w:val="000B1C10"/>
    <w:rsid w:val="000B2065"/>
    <w:rsid w:val="000B2101"/>
    <w:rsid w:val="000B2607"/>
    <w:rsid w:val="000B2D3B"/>
    <w:rsid w:val="000B5E01"/>
    <w:rsid w:val="000B5E54"/>
    <w:rsid w:val="000B7969"/>
    <w:rsid w:val="000C089A"/>
    <w:rsid w:val="000C0E18"/>
    <w:rsid w:val="000C0F3D"/>
    <w:rsid w:val="000C0F59"/>
    <w:rsid w:val="000C2071"/>
    <w:rsid w:val="000C30A4"/>
    <w:rsid w:val="000C5318"/>
    <w:rsid w:val="000C53CB"/>
    <w:rsid w:val="000C59A5"/>
    <w:rsid w:val="000C5CD8"/>
    <w:rsid w:val="000C6A50"/>
    <w:rsid w:val="000C731C"/>
    <w:rsid w:val="000D086F"/>
    <w:rsid w:val="000D0B19"/>
    <w:rsid w:val="000D0BDD"/>
    <w:rsid w:val="000D18C6"/>
    <w:rsid w:val="000D22B2"/>
    <w:rsid w:val="000D2D26"/>
    <w:rsid w:val="000D3BF3"/>
    <w:rsid w:val="000D5BFD"/>
    <w:rsid w:val="000D65EE"/>
    <w:rsid w:val="000E25FC"/>
    <w:rsid w:val="000E3F48"/>
    <w:rsid w:val="000E540C"/>
    <w:rsid w:val="000E5BEA"/>
    <w:rsid w:val="000E64CD"/>
    <w:rsid w:val="000E64E1"/>
    <w:rsid w:val="000F07D5"/>
    <w:rsid w:val="000F1A21"/>
    <w:rsid w:val="000F1BA9"/>
    <w:rsid w:val="000F240E"/>
    <w:rsid w:val="000F24B7"/>
    <w:rsid w:val="000F2D3C"/>
    <w:rsid w:val="000F2F68"/>
    <w:rsid w:val="000F344A"/>
    <w:rsid w:val="000F3529"/>
    <w:rsid w:val="000F49D8"/>
    <w:rsid w:val="000F67AF"/>
    <w:rsid w:val="000F7364"/>
    <w:rsid w:val="000F7545"/>
    <w:rsid w:val="000F78CC"/>
    <w:rsid w:val="000F7F22"/>
    <w:rsid w:val="0010084A"/>
    <w:rsid w:val="00101BAB"/>
    <w:rsid w:val="00103FEB"/>
    <w:rsid w:val="001043AB"/>
    <w:rsid w:val="00104EBF"/>
    <w:rsid w:val="00105AC9"/>
    <w:rsid w:val="00105BB9"/>
    <w:rsid w:val="00105E53"/>
    <w:rsid w:val="001060CF"/>
    <w:rsid w:val="001067DD"/>
    <w:rsid w:val="00107891"/>
    <w:rsid w:val="00107C3F"/>
    <w:rsid w:val="00110612"/>
    <w:rsid w:val="001123E3"/>
    <w:rsid w:val="00113927"/>
    <w:rsid w:val="001139CA"/>
    <w:rsid w:val="0011453B"/>
    <w:rsid w:val="0011526E"/>
    <w:rsid w:val="00115E59"/>
    <w:rsid w:val="001172B1"/>
    <w:rsid w:val="001172DC"/>
    <w:rsid w:val="00121185"/>
    <w:rsid w:val="00121C03"/>
    <w:rsid w:val="00122211"/>
    <w:rsid w:val="00122A4D"/>
    <w:rsid w:val="00123DE9"/>
    <w:rsid w:val="001243E4"/>
    <w:rsid w:val="00125230"/>
    <w:rsid w:val="00125744"/>
    <w:rsid w:val="00125ED4"/>
    <w:rsid w:val="0013022B"/>
    <w:rsid w:val="00130E63"/>
    <w:rsid w:val="0013102A"/>
    <w:rsid w:val="00131F12"/>
    <w:rsid w:val="0013284F"/>
    <w:rsid w:val="00132F9F"/>
    <w:rsid w:val="00133208"/>
    <w:rsid w:val="00133542"/>
    <w:rsid w:val="0013458E"/>
    <w:rsid w:val="00134856"/>
    <w:rsid w:val="00134974"/>
    <w:rsid w:val="0013582A"/>
    <w:rsid w:val="00135F25"/>
    <w:rsid w:val="001364E3"/>
    <w:rsid w:val="00136538"/>
    <w:rsid w:val="001379B6"/>
    <w:rsid w:val="00141780"/>
    <w:rsid w:val="00142052"/>
    <w:rsid w:val="00143F8F"/>
    <w:rsid w:val="001446AA"/>
    <w:rsid w:val="00145BC0"/>
    <w:rsid w:val="00147FB0"/>
    <w:rsid w:val="00150B5C"/>
    <w:rsid w:val="0015186B"/>
    <w:rsid w:val="00156FFF"/>
    <w:rsid w:val="00157CC0"/>
    <w:rsid w:val="0016101B"/>
    <w:rsid w:val="00161670"/>
    <w:rsid w:val="001621B5"/>
    <w:rsid w:val="001621D6"/>
    <w:rsid w:val="00164B21"/>
    <w:rsid w:val="00164D49"/>
    <w:rsid w:val="001661A5"/>
    <w:rsid w:val="0017104B"/>
    <w:rsid w:val="001724AD"/>
    <w:rsid w:val="00174CC3"/>
    <w:rsid w:val="001774DE"/>
    <w:rsid w:val="00177A46"/>
    <w:rsid w:val="00177F4B"/>
    <w:rsid w:val="001800F4"/>
    <w:rsid w:val="0018032F"/>
    <w:rsid w:val="00180939"/>
    <w:rsid w:val="00182A22"/>
    <w:rsid w:val="00183BDB"/>
    <w:rsid w:val="00183E98"/>
    <w:rsid w:val="001842D9"/>
    <w:rsid w:val="001846DD"/>
    <w:rsid w:val="00184DDD"/>
    <w:rsid w:val="001850B4"/>
    <w:rsid w:val="001859A6"/>
    <w:rsid w:val="00185D70"/>
    <w:rsid w:val="00190D88"/>
    <w:rsid w:val="00192007"/>
    <w:rsid w:val="00192122"/>
    <w:rsid w:val="0019380C"/>
    <w:rsid w:val="00195050"/>
    <w:rsid w:val="00195233"/>
    <w:rsid w:val="001953A5"/>
    <w:rsid w:val="00195CD8"/>
    <w:rsid w:val="001966F3"/>
    <w:rsid w:val="00196AE4"/>
    <w:rsid w:val="00197334"/>
    <w:rsid w:val="00197A84"/>
    <w:rsid w:val="00197B14"/>
    <w:rsid w:val="001A0136"/>
    <w:rsid w:val="001A2744"/>
    <w:rsid w:val="001A27C6"/>
    <w:rsid w:val="001A2A39"/>
    <w:rsid w:val="001A329C"/>
    <w:rsid w:val="001A3613"/>
    <w:rsid w:val="001A4CD4"/>
    <w:rsid w:val="001A5164"/>
    <w:rsid w:val="001A6C07"/>
    <w:rsid w:val="001B2015"/>
    <w:rsid w:val="001B3F6A"/>
    <w:rsid w:val="001B416C"/>
    <w:rsid w:val="001B473E"/>
    <w:rsid w:val="001B4996"/>
    <w:rsid w:val="001B678B"/>
    <w:rsid w:val="001B6A1A"/>
    <w:rsid w:val="001B7C37"/>
    <w:rsid w:val="001C106E"/>
    <w:rsid w:val="001C10A8"/>
    <w:rsid w:val="001C34A2"/>
    <w:rsid w:val="001C3D57"/>
    <w:rsid w:val="001C3F95"/>
    <w:rsid w:val="001C4045"/>
    <w:rsid w:val="001C41D3"/>
    <w:rsid w:val="001C50A1"/>
    <w:rsid w:val="001C52FB"/>
    <w:rsid w:val="001C61A8"/>
    <w:rsid w:val="001C6DF9"/>
    <w:rsid w:val="001C75E6"/>
    <w:rsid w:val="001C7D32"/>
    <w:rsid w:val="001D009C"/>
    <w:rsid w:val="001D0819"/>
    <w:rsid w:val="001D1F5E"/>
    <w:rsid w:val="001D2CFC"/>
    <w:rsid w:val="001D3FCE"/>
    <w:rsid w:val="001D44A6"/>
    <w:rsid w:val="001D7E1F"/>
    <w:rsid w:val="001E0AE3"/>
    <w:rsid w:val="001E28D6"/>
    <w:rsid w:val="001E2F81"/>
    <w:rsid w:val="001E32DA"/>
    <w:rsid w:val="001E4421"/>
    <w:rsid w:val="001E5A6D"/>
    <w:rsid w:val="001E633F"/>
    <w:rsid w:val="001E6A54"/>
    <w:rsid w:val="001E7B71"/>
    <w:rsid w:val="001F0535"/>
    <w:rsid w:val="001F1126"/>
    <w:rsid w:val="001F2807"/>
    <w:rsid w:val="001F5180"/>
    <w:rsid w:val="001F5832"/>
    <w:rsid w:val="001F59B8"/>
    <w:rsid w:val="001F5BFF"/>
    <w:rsid w:val="001F687C"/>
    <w:rsid w:val="001F7449"/>
    <w:rsid w:val="00201088"/>
    <w:rsid w:val="00201F75"/>
    <w:rsid w:val="0020215C"/>
    <w:rsid w:val="002023ED"/>
    <w:rsid w:val="00203719"/>
    <w:rsid w:val="00203B04"/>
    <w:rsid w:val="00203CB7"/>
    <w:rsid w:val="00204FCB"/>
    <w:rsid w:val="00207C77"/>
    <w:rsid w:val="002107EF"/>
    <w:rsid w:val="00210B9F"/>
    <w:rsid w:val="00210BD4"/>
    <w:rsid w:val="00211CA1"/>
    <w:rsid w:val="00213163"/>
    <w:rsid w:val="00214129"/>
    <w:rsid w:val="00214496"/>
    <w:rsid w:val="00214EC2"/>
    <w:rsid w:val="002163CF"/>
    <w:rsid w:val="00217CF0"/>
    <w:rsid w:val="00217E10"/>
    <w:rsid w:val="0022176F"/>
    <w:rsid w:val="00222706"/>
    <w:rsid w:val="00222E84"/>
    <w:rsid w:val="00224BEE"/>
    <w:rsid w:val="00225BFD"/>
    <w:rsid w:val="00225DB8"/>
    <w:rsid w:val="002269EE"/>
    <w:rsid w:val="002276CC"/>
    <w:rsid w:val="0023281C"/>
    <w:rsid w:val="002343DD"/>
    <w:rsid w:val="0023519E"/>
    <w:rsid w:val="00235617"/>
    <w:rsid w:val="00235F8D"/>
    <w:rsid w:val="002362F7"/>
    <w:rsid w:val="00241A70"/>
    <w:rsid w:val="00242F4D"/>
    <w:rsid w:val="00243CD3"/>
    <w:rsid w:val="00243E20"/>
    <w:rsid w:val="00245B93"/>
    <w:rsid w:val="00245C51"/>
    <w:rsid w:val="0024613E"/>
    <w:rsid w:val="002475CB"/>
    <w:rsid w:val="00247D18"/>
    <w:rsid w:val="0025017C"/>
    <w:rsid w:val="0025105E"/>
    <w:rsid w:val="00251426"/>
    <w:rsid w:val="00251615"/>
    <w:rsid w:val="00251A37"/>
    <w:rsid w:val="00251DD5"/>
    <w:rsid w:val="002543C7"/>
    <w:rsid w:val="0025674A"/>
    <w:rsid w:val="00257BB9"/>
    <w:rsid w:val="00257D02"/>
    <w:rsid w:val="00257E8D"/>
    <w:rsid w:val="00260846"/>
    <w:rsid w:val="002639F8"/>
    <w:rsid w:val="002647C9"/>
    <w:rsid w:val="002648BF"/>
    <w:rsid w:val="00264D2B"/>
    <w:rsid w:val="00266709"/>
    <w:rsid w:val="00266CA4"/>
    <w:rsid w:val="00266FB0"/>
    <w:rsid w:val="00271512"/>
    <w:rsid w:val="00271A56"/>
    <w:rsid w:val="00273867"/>
    <w:rsid w:val="00273F73"/>
    <w:rsid w:val="00275B8A"/>
    <w:rsid w:val="00276E8D"/>
    <w:rsid w:val="00277B3A"/>
    <w:rsid w:val="00281CE8"/>
    <w:rsid w:val="00281EC6"/>
    <w:rsid w:val="00285681"/>
    <w:rsid w:val="00286133"/>
    <w:rsid w:val="002870A0"/>
    <w:rsid w:val="002877F9"/>
    <w:rsid w:val="002879BA"/>
    <w:rsid w:val="00290D8A"/>
    <w:rsid w:val="00291407"/>
    <w:rsid w:val="002920C7"/>
    <w:rsid w:val="002944DC"/>
    <w:rsid w:val="002968CA"/>
    <w:rsid w:val="002979B1"/>
    <w:rsid w:val="002A027D"/>
    <w:rsid w:val="002A0C31"/>
    <w:rsid w:val="002A0F21"/>
    <w:rsid w:val="002A1082"/>
    <w:rsid w:val="002A2147"/>
    <w:rsid w:val="002A390F"/>
    <w:rsid w:val="002A4DEC"/>
    <w:rsid w:val="002A5252"/>
    <w:rsid w:val="002A579B"/>
    <w:rsid w:val="002A63A6"/>
    <w:rsid w:val="002A6E4A"/>
    <w:rsid w:val="002A708A"/>
    <w:rsid w:val="002A7352"/>
    <w:rsid w:val="002A7432"/>
    <w:rsid w:val="002B047D"/>
    <w:rsid w:val="002B0C3F"/>
    <w:rsid w:val="002B2C88"/>
    <w:rsid w:val="002B365B"/>
    <w:rsid w:val="002B409A"/>
    <w:rsid w:val="002B4417"/>
    <w:rsid w:val="002B4FD3"/>
    <w:rsid w:val="002B58F8"/>
    <w:rsid w:val="002B6DCB"/>
    <w:rsid w:val="002C063B"/>
    <w:rsid w:val="002C0B0C"/>
    <w:rsid w:val="002C278F"/>
    <w:rsid w:val="002C2916"/>
    <w:rsid w:val="002C30C0"/>
    <w:rsid w:val="002C7192"/>
    <w:rsid w:val="002D05F0"/>
    <w:rsid w:val="002D0A72"/>
    <w:rsid w:val="002D11B2"/>
    <w:rsid w:val="002D1B4A"/>
    <w:rsid w:val="002D277F"/>
    <w:rsid w:val="002D6202"/>
    <w:rsid w:val="002E1C89"/>
    <w:rsid w:val="002E2245"/>
    <w:rsid w:val="002E4FDD"/>
    <w:rsid w:val="002E6ED3"/>
    <w:rsid w:val="002E773F"/>
    <w:rsid w:val="002F0750"/>
    <w:rsid w:val="002F3D2E"/>
    <w:rsid w:val="002F3F54"/>
    <w:rsid w:val="002F423B"/>
    <w:rsid w:val="002F457C"/>
    <w:rsid w:val="002F5A90"/>
    <w:rsid w:val="002F664A"/>
    <w:rsid w:val="002F7062"/>
    <w:rsid w:val="002F7077"/>
    <w:rsid w:val="003011BE"/>
    <w:rsid w:val="0030170F"/>
    <w:rsid w:val="00302A8A"/>
    <w:rsid w:val="00303CAD"/>
    <w:rsid w:val="00304EDE"/>
    <w:rsid w:val="00304F1E"/>
    <w:rsid w:val="0030564C"/>
    <w:rsid w:val="00305D31"/>
    <w:rsid w:val="003062AF"/>
    <w:rsid w:val="003064F7"/>
    <w:rsid w:val="00306DE6"/>
    <w:rsid w:val="00307489"/>
    <w:rsid w:val="00307F09"/>
    <w:rsid w:val="00310E37"/>
    <w:rsid w:val="00310EEC"/>
    <w:rsid w:val="00311795"/>
    <w:rsid w:val="003121BC"/>
    <w:rsid w:val="003130DF"/>
    <w:rsid w:val="00314638"/>
    <w:rsid w:val="003161E6"/>
    <w:rsid w:val="0032005D"/>
    <w:rsid w:val="003220F1"/>
    <w:rsid w:val="00323F04"/>
    <w:rsid w:val="00324054"/>
    <w:rsid w:val="00324ED3"/>
    <w:rsid w:val="00326BB8"/>
    <w:rsid w:val="0032742A"/>
    <w:rsid w:val="0032786F"/>
    <w:rsid w:val="00332A3D"/>
    <w:rsid w:val="00333050"/>
    <w:rsid w:val="0033341F"/>
    <w:rsid w:val="00334450"/>
    <w:rsid w:val="00335DE4"/>
    <w:rsid w:val="0033688E"/>
    <w:rsid w:val="00337F1C"/>
    <w:rsid w:val="0034047F"/>
    <w:rsid w:val="003418EF"/>
    <w:rsid w:val="00341972"/>
    <w:rsid w:val="00343140"/>
    <w:rsid w:val="00343E3B"/>
    <w:rsid w:val="0034533E"/>
    <w:rsid w:val="003466E7"/>
    <w:rsid w:val="003476EC"/>
    <w:rsid w:val="0035102D"/>
    <w:rsid w:val="00351D3A"/>
    <w:rsid w:val="003522E2"/>
    <w:rsid w:val="0035460E"/>
    <w:rsid w:val="003547CB"/>
    <w:rsid w:val="003555D9"/>
    <w:rsid w:val="003555ED"/>
    <w:rsid w:val="003556FB"/>
    <w:rsid w:val="00356525"/>
    <w:rsid w:val="00356770"/>
    <w:rsid w:val="00356F44"/>
    <w:rsid w:val="00357337"/>
    <w:rsid w:val="003576B3"/>
    <w:rsid w:val="00361D4D"/>
    <w:rsid w:val="00361EA2"/>
    <w:rsid w:val="00363417"/>
    <w:rsid w:val="003638F8"/>
    <w:rsid w:val="003648C1"/>
    <w:rsid w:val="00365420"/>
    <w:rsid w:val="00366013"/>
    <w:rsid w:val="00366100"/>
    <w:rsid w:val="003701C6"/>
    <w:rsid w:val="00371929"/>
    <w:rsid w:val="00371EEE"/>
    <w:rsid w:val="003744A7"/>
    <w:rsid w:val="00375F4F"/>
    <w:rsid w:val="00377773"/>
    <w:rsid w:val="00377FCC"/>
    <w:rsid w:val="003803A5"/>
    <w:rsid w:val="00381C26"/>
    <w:rsid w:val="0038216D"/>
    <w:rsid w:val="0038309E"/>
    <w:rsid w:val="0038383D"/>
    <w:rsid w:val="00384A18"/>
    <w:rsid w:val="00384E65"/>
    <w:rsid w:val="00384EC8"/>
    <w:rsid w:val="00385303"/>
    <w:rsid w:val="00386C95"/>
    <w:rsid w:val="00387135"/>
    <w:rsid w:val="003921DE"/>
    <w:rsid w:val="00392503"/>
    <w:rsid w:val="003928FB"/>
    <w:rsid w:val="00394C19"/>
    <w:rsid w:val="003958EB"/>
    <w:rsid w:val="003959F9"/>
    <w:rsid w:val="00396471"/>
    <w:rsid w:val="00396939"/>
    <w:rsid w:val="00397452"/>
    <w:rsid w:val="00397AC5"/>
    <w:rsid w:val="003A0E1F"/>
    <w:rsid w:val="003A104D"/>
    <w:rsid w:val="003A1791"/>
    <w:rsid w:val="003A33B8"/>
    <w:rsid w:val="003A39FE"/>
    <w:rsid w:val="003A3C10"/>
    <w:rsid w:val="003A3CEF"/>
    <w:rsid w:val="003A3F08"/>
    <w:rsid w:val="003A5E0F"/>
    <w:rsid w:val="003A6641"/>
    <w:rsid w:val="003A7AAF"/>
    <w:rsid w:val="003B10F9"/>
    <w:rsid w:val="003B346E"/>
    <w:rsid w:val="003B4D17"/>
    <w:rsid w:val="003B563A"/>
    <w:rsid w:val="003B57CB"/>
    <w:rsid w:val="003B5C2A"/>
    <w:rsid w:val="003B5F9E"/>
    <w:rsid w:val="003B6237"/>
    <w:rsid w:val="003B7DFA"/>
    <w:rsid w:val="003C0DC3"/>
    <w:rsid w:val="003C1617"/>
    <w:rsid w:val="003C1C82"/>
    <w:rsid w:val="003C1CF7"/>
    <w:rsid w:val="003C1E4C"/>
    <w:rsid w:val="003C2D8D"/>
    <w:rsid w:val="003C2F27"/>
    <w:rsid w:val="003C3057"/>
    <w:rsid w:val="003C3D00"/>
    <w:rsid w:val="003C41F3"/>
    <w:rsid w:val="003C643D"/>
    <w:rsid w:val="003C663D"/>
    <w:rsid w:val="003C67D0"/>
    <w:rsid w:val="003C6954"/>
    <w:rsid w:val="003D0ED9"/>
    <w:rsid w:val="003D1670"/>
    <w:rsid w:val="003D3383"/>
    <w:rsid w:val="003D528A"/>
    <w:rsid w:val="003D5423"/>
    <w:rsid w:val="003D62FC"/>
    <w:rsid w:val="003D7DBF"/>
    <w:rsid w:val="003E0613"/>
    <w:rsid w:val="003E1E09"/>
    <w:rsid w:val="003E24C3"/>
    <w:rsid w:val="003E4066"/>
    <w:rsid w:val="003E4995"/>
    <w:rsid w:val="003E598D"/>
    <w:rsid w:val="003E5A2E"/>
    <w:rsid w:val="003E6324"/>
    <w:rsid w:val="003E6B3C"/>
    <w:rsid w:val="003E7914"/>
    <w:rsid w:val="003E7BD8"/>
    <w:rsid w:val="003F0ACD"/>
    <w:rsid w:val="003F13F9"/>
    <w:rsid w:val="003F192F"/>
    <w:rsid w:val="003F35E2"/>
    <w:rsid w:val="003F40E2"/>
    <w:rsid w:val="003F448B"/>
    <w:rsid w:val="003F4D99"/>
    <w:rsid w:val="00401621"/>
    <w:rsid w:val="004024B6"/>
    <w:rsid w:val="00402816"/>
    <w:rsid w:val="00404194"/>
    <w:rsid w:val="00404D45"/>
    <w:rsid w:val="00405309"/>
    <w:rsid w:val="00406761"/>
    <w:rsid w:val="00407E61"/>
    <w:rsid w:val="00410561"/>
    <w:rsid w:val="0041119A"/>
    <w:rsid w:val="00411D5E"/>
    <w:rsid w:val="00413865"/>
    <w:rsid w:val="00413AED"/>
    <w:rsid w:val="00414689"/>
    <w:rsid w:val="00414D14"/>
    <w:rsid w:val="00415721"/>
    <w:rsid w:val="0041621A"/>
    <w:rsid w:val="004162FA"/>
    <w:rsid w:val="00416749"/>
    <w:rsid w:val="0041746C"/>
    <w:rsid w:val="004200DB"/>
    <w:rsid w:val="0042067B"/>
    <w:rsid w:val="0042074B"/>
    <w:rsid w:val="004210BE"/>
    <w:rsid w:val="004212DC"/>
    <w:rsid w:val="00424428"/>
    <w:rsid w:val="00424591"/>
    <w:rsid w:val="00424C76"/>
    <w:rsid w:val="004254AF"/>
    <w:rsid w:val="004269C5"/>
    <w:rsid w:val="00426A96"/>
    <w:rsid w:val="004302E2"/>
    <w:rsid w:val="0043228F"/>
    <w:rsid w:val="004322AE"/>
    <w:rsid w:val="00433D0B"/>
    <w:rsid w:val="0043585D"/>
    <w:rsid w:val="00436337"/>
    <w:rsid w:val="004376A3"/>
    <w:rsid w:val="0043792D"/>
    <w:rsid w:val="00437C07"/>
    <w:rsid w:val="00440B60"/>
    <w:rsid w:val="004416CE"/>
    <w:rsid w:val="004416FE"/>
    <w:rsid w:val="004417D6"/>
    <w:rsid w:val="00441E93"/>
    <w:rsid w:val="00441F3F"/>
    <w:rsid w:val="0044374A"/>
    <w:rsid w:val="0044442A"/>
    <w:rsid w:val="00444F5B"/>
    <w:rsid w:val="004456D6"/>
    <w:rsid w:val="00445E58"/>
    <w:rsid w:val="0044701B"/>
    <w:rsid w:val="00450198"/>
    <w:rsid w:val="00451159"/>
    <w:rsid w:val="00451C93"/>
    <w:rsid w:val="00451CA4"/>
    <w:rsid w:val="00451D86"/>
    <w:rsid w:val="00451E75"/>
    <w:rsid w:val="00452658"/>
    <w:rsid w:val="0045271A"/>
    <w:rsid w:val="00453A11"/>
    <w:rsid w:val="0045678B"/>
    <w:rsid w:val="00456D7A"/>
    <w:rsid w:val="00456DAE"/>
    <w:rsid w:val="004571C8"/>
    <w:rsid w:val="00457319"/>
    <w:rsid w:val="00460CAA"/>
    <w:rsid w:val="00460E04"/>
    <w:rsid w:val="00461A18"/>
    <w:rsid w:val="004646C5"/>
    <w:rsid w:val="00465470"/>
    <w:rsid w:val="00466478"/>
    <w:rsid w:val="004665E1"/>
    <w:rsid w:val="00466A0C"/>
    <w:rsid w:val="004705BA"/>
    <w:rsid w:val="00471669"/>
    <w:rsid w:val="00471E5C"/>
    <w:rsid w:val="00471FBE"/>
    <w:rsid w:val="004720A2"/>
    <w:rsid w:val="004722B0"/>
    <w:rsid w:val="00472960"/>
    <w:rsid w:val="004733A7"/>
    <w:rsid w:val="004750AA"/>
    <w:rsid w:val="0047553D"/>
    <w:rsid w:val="00475F85"/>
    <w:rsid w:val="00476154"/>
    <w:rsid w:val="00477921"/>
    <w:rsid w:val="00480BFC"/>
    <w:rsid w:val="00481012"/>
    <w:rsid w:val="00481766"/>
    <w:rsid w:val="00482FCC"/>
    <w:rsid w:val="00483B4C"/>
    <w:rsid w:val="004859AD"/>
    <w:rsid w:val="004861DB"/>
    <w:rsid w:val="0048694F"/>
    <w:rsid w:val="00486D50"/>
    <w:rsid w:val="00487DAE"/>
    <w:rsid w:val="004902BE"/>
    <w:rsid w:val="0049263A"/>
    <w:rsid w:val="00493989"/>
    <w:rsid w:val="00494A22"/>
    <w:rsid w:val="00495675"/>
    <w:rsid w:val="00495D10"/>
    <w:rsid w:val="00496158"/>
    <w:rsid w:val="004A0152"/>
    <w:rsid w:val="004A12EB"/>
    <w:rsid w:val="004A311B"/>
    <w:rsid w:val="004A39B2"/>
    <w:rsid w:val="004A5EDC"/>
    <w:rsid w:val="004A6C86"/>
    <w:rsid w:val="004B1644"/>
    <w:rsid w:val="004B1D84"/>
    <w:rsid w:val="004B2100"/>
    <w:rsid w:val="004B2393"/>
    <w:rsid w:val="004B3229"/>
    <w:rsid w:val="004B395A"/>
    <w:rsid w:val="004B3D68"/>
    <w:rsid w:val="004B4551"/>
    <w:rsid w:val="004B46C3"/>
    <w:rsid w:val="004B4F10"/>
    <w:rsid w:val="004B5ADF"/>
    <w:rsid w:val="004B5E24"/>
    <w:rsid w:val="004C0047"/>
    <w:rsid w:val="004C0650"/>
    <w:rsid w:val="004C1F89"/>
    <w:rsid w:val="004C3254"/>
    <w:rsid w:val="004C3861"/>
    <w:rsid w:val="004C45DF"/>
    <w:rsid w:val="004C4DE5"/>
    <w:rsid w:val="004C56AD"/>
    <w:rsid w:val="004C5C1A"/>
    <w:rsid w:val="004C74CB"/>
    <w:rsid w:val="004D0EA4"/>
    <w:rsid w:val="004D1C65"/>
    <w:rsid w:val="004D29F9"/>
    <w:rsid w:val="004D2D4F"/>
    <w:rsid w:val="004D2EC7"/>
    <w:rsid w:val="004D3434"/>
    <w:rsid w:val="004D34EF"/>
    <w:rsid w:val="004D3701"/>
    <w:rsid w:val="004D39AC"/>
    <w:rsid w:val="004D470E"/>
    <w:rsid w:val="004D4A4D"/>
    <w:rsid w:val="004D50D9"/>
    <w:rsid w:val="004D5D49"/>
    <w:rsid w:val="004D65BF"/>
    <w:rsid w:val="004D71C8"/>
    <w:rsid w:val="004D7A9A"/>
    <w:rsid w:val="004E117D"/>
    <w:rsid w:val="004E1F93"/>
    <w:rsid w:val="004E35F6"/>
    <w:rsid w:val="004E3BD9"/>
    <w:rsid w:val="004E50DC"/>
    <w:rsid w:val="004E54D0"/>
    <w:rsid w:val="004E5F4B"/>
    <w:rsid w:val="004F27B2"/>
    <w:rsid w:val="004F3227"/>
    <w:rsid w:val="004F34F2"/>
    <w:rsid w:val="004F621C"/>
    <w:rsid w:val="004F6682"/>
    <w:rsid w:val="00500429"/>
    <w:rsid w:val="00500765"/>
    <w:rsid w:val="005007E9"/>
    <w:rsid w:val="00500A6B"/>
    <w:rsid w:val="005013B3"/>
    <w:rsid w:val="0050183B"/>
    <w:rsid w:val="00503006"/>
    <w:rsid w:val="00505A8B"/>
    <w:rsid w:val="0050627A"/>
    <w:rsid w:val="0050636D"/>
    <w:rsid w:val="00506932"/>
    <w:rsid w:val="00506D35"/>
    <w:rsid w:val="005073B4"/>
    <w:rsid w:val="00511475"/>
    <w:rsid w:val="00511BCB"/>
    <w:rsid w:val="00513333"/>
    <w:rsid w:val="00514FDA"/>
    <w:rsid w:val="005174DE"/>
    <w:rsid w:val="0052266B"/>
    <w:rsid w:val="00524005"/>
    <w:rsid w:val="0052424B"/>
    <w:rsid w:val="005252EC"/>
    <w:rsid w:val="00525683"/>
    <w:rsid w:val="005257A9"/>
    <w:rsid w:val="005257E4"/>
    <w:rsid w:val="00526140"/>
    <w:rsid w:val="00526443"/>
    <w:rsid w:val="0052675E"/>
    <w:rsid w:val="005268B9"/>
    <w:rsid w:val="00526CD7"/>
    <w:rsid w:val="00526EB4"/>
    <w:rsid w:val="00531222"/>
    <w:rsid w:val="0053174F"/>
    <w:rsid w:val="0053209D"/>
    <w:rsid w:val="005321A7"/>
    <w:rsid w:val="00532582"/>
    <w:rsid w:val="00532929"/>
    <w:rsid w:val="00532B9D"/>
    <w:rsid w:val="00534960"/>
    <w:rsid w:val="005354B5"/>
    <w:rsid w:val="00535825"/>
    <w:rsid w:val="00536E11"/>
    <w:rsid w:val="00537885"/>
    <w:rsid w:val="00537B7A"/>
    <w:rsid w:val="00537B8F"/>
    <w:rsid w:val="00537F10"/>
    <w:rsid w:val="00541CF8"/>
    <w:rsid w:val="00543D40"/>
    <w:rsid w:val="00543DA9"/>
    <w:rsid w:val="00545278"/>
    <w:rsid w:val="005455C3"/>
    <w:rsid w:val="0054569E"/>
    <w:rsid w:val="00545F84"/>
    <w:rsid w:val="005468F3"/>
    <w:rsid w:val="00546C69"/>
    <w:rsid w:val="00547224"/>
    <w:rsid w:val="00547271"/>
    <w:rsid w:val="0055063C"/>
    <w:rsid w:val="005508FA"/>
    <w:rsid w:val="0055182C"/>
    <w:rsid w:val="005539D0"/>
    <w:rsid w:val="005553EB"/>
    <w:rsid w:val="00555F78"/>
    <w:rsid w:val="0055603F"/>
    <w:rsid w:val="00557218"/>
    <w:rsid w:val="005572C8"/>
    <w:rsid w:val="00562CEB"/>
    <w:rsid w:val="00563706"/>
    <w:rsid w:val="00563C6E"/>
    <w:rsid w:val="005640F9"/>
    <w:rsid w:val="0056428D"/>
    <w:rsid w:val="005654E4"/>
    <w:rsid w:val="00565EEF"/>
    <w:rsid w:val="00566A31"/>
    <w:rsid w:val="00566BC9"/>
    <w:rsid w:val="0056770F"/>
    <w:rsid w:val="0057006B"/>
    <w:rsid w:val="00570191"/>
    <w:rsid w:val="005723DE"/>
    <w:rsid w:val="00572408"/>
    <w:rsid w:val="00572BC6"/>
    <w:rsid w:val="00572D35"/>
    <w:rsid w:val="005733BE"/>
    <w:rsid w:val="00575664"/>
    <w:rsid w:val="00575FFD"/>
    <w:rsid w:val="005764AE"/>
    <w:rsid w:val="005769B8"/>
    <w:rsid w:val="00577047"/>
    <w:rsid w:val="00577A09"/>
    <w:rsid w:val="00577D87"/>
    <w:rsid w:val="0058039B"/>
    <w:rsid w:val="0058065F"/>
    <w:rsid w:val="00580860"/>
    <w:rsid w:val="00580A7E"/>
    <w:rsid w:val="00580AC6"/>
    <w:rsid w:val="005814EC"/>
    <w:rsid w:val="00581FE8"/>
    <w:rsid w:val="0058281F"/>
    <w:rsid w:val="00583935"/>
    <w:rsid w:val="00584235"/>
    <w:rsid w:val="00584839"/>
    <w:rsid w:val="00585887"/>
    <w:rsid w:val="005868B3"/>
    <w:rsid w:val="00586A53"/>
    <w:rsid w:val="005873D1"/>
    <w:rsid w:val="00590089"/>
    <w:rsid w:val="00590BFD"/>
    <w:rsid w:val="0059103F"/>
    <w:rsid w:val="00591900"/>
    <w:rsid w:val="005921A8"/>
    <w:rsid w:val="00592446"/>
    <w:rsid w:val="005934B5"/>
    <w:rsid w:val="00594C75"/>
    <w:rsid w:val="005A0245"/>
    <w:rsid w:val="005A0D7E"/>
    <w:rsid w:val="005A104D"/>
    <w:rsid w:val="005A1549"/>
    <w:rsid w:val="005A1A98"/>
    <w:rsid w:val="005A3499"/>
    <w:rsid w:val="005A4BD6"/>
    <w:rsid w:val="005A6909"/>
    <w:rsid w:val="005A6E64"/>
    <w:rsid w:val="005A71CD"/>
    <w:rsid w:val="005B0F94"/>
    <w:rsid w:val="005B170B"/>
    <w:rsid w:val="005B36A7"/>
    <w:rsid w:val="005B5FD8"/>
    <w:rsid w:val="005B6C5E"/>
    <w:rsid w:val="005B7231"/>
    <w:rsid w:val="005C149F"/>
    <w:rsid w:val="005C15D3"/>
    <w:rsid w:val="005C242C"/>
    <w:rsid w:val="005C2FA8"/>
    <w:rsid w:val="005C3C58"/>
    <w:rsid w:val="005C5E1D"/>
    <w:rsid w:val="005C66A9"/>
    <w:rsid w:val="005C6C62"/>
    <w:rsid w:val="005C7251"/>
    <w:rsid w:val="005D1912"/>
    <w:rsid w:val="005D1990"/>
    <w:rsid w:val="005D1C9C"/>
    <w:rsid w:val="005D2F14"/>
    <w:rsid w:val="005D364E"/>
    <w:rsid w:val="005D6AF6"/>
    <w:rsid w:val="005E0912"/>
    <w:rsid w:val="005E1739"/>
    <w:rsid w:val="005E1DDC"/>
    <w:rsid w:val="005E2637"/>
    <w:rsid w:val="005E2A28"/>
    <w:rsid w:val="005E3072"/>
    <w:rsid w:val="005E40DE"/>
    <w:rsid w:val="005E4C6C"/>
    <w:rsid w:val="005E55DD"/>
    <w:rsid w:val="005E587C"/>
    <w:rsid w:val="005E6435"/>
    <w:rsid w:val="005E6A09"/>
    <w:rsid w:val="005E70B8"/>
    <w:rsid w:val="005F13EA"/>
    <w:rsid w:val="005F173D"/>
    <w:rsid w:val="005F187B"/>
    <w:rsid w:val="005F33B4"/>
    <w:rsid w:val="005F4C45"/>
    <w:rsid w:val="005F55B4"/>
    <w:rsid w:val="005F56F4"/>
    <w:rsid w:val="005F5FD2"/>
    <w:rsid w:val="005F6EC9"/>
    <w:rsid w:val="005F7AD0"/>
    <w:rsid w:val="006000E1"/>
    <w:rsid w:val="00600782"/>
    <w:rsid w:val="0060091D"/>
    <w:rsid w:val="00601691"/>
    <w:rsid w:val="00602F8E"/>
    <w:rsid w:val="00604B8A"/>
    <w:rsid w:val="0060588A"/>
    <w:rsid w:val="0060642E"/>
    <w:rsid w:val="00607BE0"/>
    <w:rsid w:val="00607F3B"/>
    <w:rsid w:val="00610328"/>
    <w:rsid w:val="006107E1"/>
    <w:rsid w:val="00610FDA"/>
    <w:rsid w:val="006133FA"/>
    <w:rsid w:val="006146C8"/>
    <w:rsid w:val="006148A1"/>
    <w:rsid w:val="00614B5D"/>
    <w:rsid w:val="00616466"/>
    <w:rsid w:val="00617358"/>
    <w:rsid w:val="006204AE"/>
    <w:rsid w:val="006209BB"/>
    <w:rsid w:val="00620ADC"/>
    <w:rsid w:val="0062125F"/>
    <w:rsid w:val="006231CD"/>
    <w:rsid w:val="006237EC"/>
    <w:rsid w:val="00623B79"/>
    <w:rsid w:val="00624872"/>
    <w:rsid w:val="00624E06"/>
    <w:rsid w:val="00627ED1"/>
    <w:rsid w:val="00630B66"/>
    <w:rsid w:val="00632732"/>
    <w:rsid w:val="00632AB1"/>
    <w:rsid w:val="006331D7"/>
    <w:rsid w:val="00633264"/>
    <w:rsid w:val="0063468C"/>
    <w:rsid w:val="006361CB"/>
    <w:rsid w:val="00636238"/>
    <w:rsid w:val="0063681F"/>
    <w:rsid w:val="006402C8"/>
    <w:rsid w:val="00640E93"/>
    <w:rsid w:val="00640F96"/>
    <w:rsid w:val="006416FD"/>
    <w:rsid w:val="006418D4"/>
    <w:rsid w:val="00642069"/>
    <w:rsid w:val="00642934"/>
    <w:rsid w:val="0064353D"/>
    <w:rsid w:val="0064538A"/>
    <w:rsid w:val="00646623"/>
    <w:rsid w:val="006469DF"/>
    <w:rsid w:val="006470A3"/>
    <w:rsid w:val="00651BEA"/>
    <w:rsid w:val="0065229D"/>
    <w:rsid w:val="00652B19"/>
    <w:rsid w:val="00653EB2"/>
    <w:rsid w:val="00655F25"/>
    <w:rsid w:val="0065656A"/>
    <w:rsid w:val="006569C4"/>
    <w:rsid w:val="00660236"/>
    <w:rsid w:val="006603D4"/>
    <w:rsid w:val="006605D3"/>
    <w:rsid w:val="00661E29"/>
    <w:rsid w:val="006635F5"/>
    <w:rsid w:val="00664C07"/>
    <w:rsid w:val="006656AF"/>
    <w:rsid w:val="00666231"/>
    <w:rsid w:val="00666398"/>
    <w:rsid w:val="006674F9"/>
    <w:rsid w:val="00667D68"/>
    <w:rsid w:val="006701E6"/>
    <w:rsid w:val="00670CD6"/>
    <w:rsid w:val="00671248"/>
    <w:rsid w:val="00671692"/>
    <w:rsid w:val="00671937"/>
    <w:rsid w:val="00672D51"/>
    <w:rsid w:val="00674153"/>
    <w:rsid w:val="0067581C"/>
    <w:rsid w:val="006760D6"/>
    <w:rsid w:val="00676F80"/>
    <w:rsid w:val="00680169"/>
    <w:rsid w:val="00681302"/>
    <w:rsid w:val="0068134C"/>
    <w:rsid w:val="00681F2C"/>
    <w:rsid w:val="00682D44"/>
    <w:rsid w:val="006866B6"/>
    <w:rsid w:val="00690BE3"/>
    <w:rsid w:val="006910DA"/>
    <w:rsid w:val="00691792"/>
    <w:rsid w:val="0069227D"/>
    <w:rsid w:val="006945BB"/>
    <w:rsid w:val="00696671"/>
    <w:rsid w:val="00696972"/>
    <w:rsid w:val="00696D91"/>
    <w:rsid w:val="006971F3"/>
    <w:rsid w:val="006973BF"/>
    <w:rsid w:val="006A0BAB"/>
    <w:rsid w:val="006A105C"/>
    <w:rsid w:val="006A154C"/>
    <w:rsid w:val="006A1B18"/>
    <w:rsid w:val="006A1D6C"/>
    <w:rsid w:val="006A22E7"/>
    <w:rsid w:val="006A2C8C"/>
    <w:rsid w:val="006A33AF"/>
    <w:rsid w:val="006A5035"/>
    <w:rsid w:val="006A5F4D"/>
    <w:rsid w:val="006A683B"/>
    <w:rsid w:val="006A6FEA"/>
    <w:rsid w:val="006A77BC"/>
    <w:rsid w:val="006A7D02"/>
    <w:rsid w:val="006B1B75"/>
    <w:rsid w:val="006C1194"/>
    <w:rsid w:val="006C12C6"/>
    <w:rsid w:val="006C12C8"/>
    <w:rsid w:val="006C1326"/>
    <w:rsid w:val="006C17EB"/>
    <w:rsid w:val="006C1F58"/>
    <w:rsid w:val="006C2345"/>
    <w:rsid w:val="006C37C2"/>
    <w:rsid w:val="006C4464"/>
    <w:rsid w:val="006C5DBF"/>
    <w:rsid w:val="006D0B4D"/>
    <w:rsid w:val="006D0C07"/>
    <w:rsid w:val="006D126D"/>
    <w:rsid w:val="006D149E"/>
    <w:rsid w:val="006D38F2"/>
    <w:rsid w:val="006D39BB"/>
    <w:rsid w:val="006D41E3"/>
    <w:rsid w:val="006D4298"/>
    <w:rsid w:val="006D442E"/>
    <w:rsid w:val="006D7D02"/>
    <w:rsid w:val="006E0231"/>
    <w:rsid w:val="006E1993"/>
    <w:rsid w:val="006E482A"/>
    <w:rsid w:val="006E6EB9"/>
    <w:rsid w:val="006E7AE9"/>
    <w:rsid w:val="006F002F"/>
    <w:rsid w:val="006F09BD"/>
    <w:rsid w:val="006F1111"/>
    <w:rsid w:val="006F1308"/>
    <w:rsid w:val="006F3436"/>
    <w:rsid w:val="006F35AD"/>
    <w:rsid w:val="006F39EB"/>
    <w:rsid w:val="006F4161"/>
    <w:rsid w:val="006F47AD"/>
    <w:rsid w:val="006F4EB7"/>
    <w:rsid w:val="006F71F2"/>
    <w:rsid w:val="006F797A"/>
    <w:rsid w:val="007004F0"/>
    <w:rsid w:val="00701715"/>
    <w:rsid w:val="00702144"/>
    <w:rsid w:val="00702E29"/>
    <w:rsid w:val="00703A8E"/>
    <w:rsid w:val="00704B20"/>
    <w:rsid w:val="00705695"/>
    <w:rsid w:val="00706435"/>
    <w:rsid w:val="00706CD5"/>
    <w:rsid w:val="00710390"/>
    <w:rsid w:val="007120BF"/>
    <w:rsid w:val="007151A9"/>
    <w:rsid w:val="0071679C"/>
    <w:rsid w:val="007169F9"/>
    <w:rsid w:val="0071731F"/>
    <w:rsid w:val="00717C2B"/>
    <w:rsid w:val="00720347"/>
    <w:rsid w:val="00720936"/>
    <w:rsid w:val="0072158E"/>
    <w:rsid w:val="0072159B"/>
    <w:rsid w:val="00721A6A"/>
    <w:rsid w:val="0072436B"/>
    <w:rsid w:val="00725935"/>
    <w:rsid w:val="00726307"/>
    <w:rsid w:val="00726A1E"/>
    <w:rsid w:val="0072741B"/>
    <w:rsid w:val="00727791"/>
    <w:rsid w:val="00727BDF"/>
    <w:rsid w:val="00732D58"/>
    <w:rsid w:val="00733B17"/>
    <w:rsid w:val="007350E1"/>
    <w:rsid w:val="007363D6"/>
    <w:rsid w:val="007364BF"/>
    <w:rsid w:val="00736749"/>
    <w:rsid w:val="00741549"/>
    <w:rsid w:val="007419B8"/>
    <w:rsid w:val="0074202B"/>
    <w:rsid w:val="0074393D"/>
    <w:rsid w:val="0074499A"/>
    <w:rsid w:val="00745540"/>
    <w:rsid w:val="00745584"/>
    <w:rsid w:val="00745817"/>
    <w:rsid w:val="00745E8A"/>
    <w:rsid w:val="00747DB9"/>
    <w:rsid w:val="0075035A"/>
    <w:rsid w:val="007519A0"/>
    <w:rsid w:val="00752083"/>
    <w:rsid w:val="0075491B"/>
    <w:rsid w:val="00754D62"/>
    <w:rsid w:val="00754F72"/>
    <w:rsid w:val="00756CD5"/>
    <w:rsid w:val="007577B5"/>
    <w:rsid w:val="00760C2D"/>
    <w:rsid w:val="00760CE6"/>
    <w:rsid w:val="0076163E"/>
    <w:rsid w:val="00762429"/>
    <w:rsid w:val="00762666"/>
    <w:rsid w:val="007626EF"/>
    <w:rsid w:val="00763342"/>
    <w:rsid w:val="00763DEF"/>
    <w:rsid w:val="0076403E"/>
    <w:rsid w:val="007652F0"/>
    <w:rsid w:val="00765C4B"/>
    <w:rsid w:val="0076644C"/>
    <w:rsid w:val="00766C62"/>
    <w:rsid w:val="00767C39"/>
    <w:rsid w:val="00770F24"/>
    <w:rsid w:val="0077254E"/>
    <w:rsid w:val="00772649"/>
    <w:rsid w:val="00773967"/>
    <w:rsid w:val="00776411"/>
    <w:rsid w:val="00777AF4"/>
    <w:rsid w:val="007803FD"/>
    <w:rsid w:val="00780B88"/>
    <w:rsid w:val="00780D96"/>
    <w:rsid w:val="00783F6B"/>
    <w:rsid w:val="00784617"/>
    <w:rsid w:val="00784BB9"/>
    <w:rsid w:val="007908A9"/>
    <w:rsid w:val="007909A3"/>
    <w:rsid w:val="007912AD"/>
    <w:rsid w:val="007913BB"/>
    <w:rsid w:val="007920D9"/>
    <w:rsid w:val="0079255B"/>
    <w:rsid w:val="0079301B"/>
    <w:rsid w:val="00793114"/>
    <w:rsid w:val="007933BA"/>
    <w:rsid w:val="0079567C"/>
    <w:rsid w:val="00796C1D"/>
    <w:rsid w:val="007A06DC"/>
    <w:rsid w:val="007A10EC"/>
    <w:rsid w:val="007A1339"/>
    <w:rsid w:val="007A135F"/>
    <w:rsid w:val="007A1452"/>
    <w:rsid w:val="007A22BC"/>
    <w:rsid w:val="007A3B71"/>
    <w:rsid w:val="007A5857"/>
    <w:rsid w:val="007A5B30"/>
    <w:rsid w:val="007A64C1"/>
    <w:rsid w:val="007A6CA9"/>
    <w:rsid w:val="007B0DDC"/>
    <w:rsid w:val="007B18E4"/>
    <w:rsid w:val="007B2041"/>
    <w:rsid w:val="007B207B"/>
    <w:rsid w:val="007B2C59"/>
    <w:rsid w:val="007B42CA"/>
    <w:rsid w:val="007B48A7"/>
    <w:rsid w:val="007B506B"/>
    <w:rsid w:val="007B6CDB"/>
    <w:rsid w:val="007B7EB4"/>
    <w:rsid w:val="007C11BC"/>
    <w:rsid w:val="007C11F5"/>
    <w:rsid w:val="007C2872"/>
    <w:rsid w:val="007D219B"/>
    <w:rsid w:val="007D2666"/>
    <w:rsid w:val="007D293D"/>
    <w:rsid w:val="007D296B"/>
    <w:rsid w:val="007D555F"/>
    <w:rsid w:val="007D55E5"/>
    <w:rsid w:val="007E122E"/>
    <w:rsid w:val="007E3043"/>
    <w:rsid w:val="007E3C37"/>
    <w:rsid w:val="007E4275"/>
    <w:rsid w:val="007E4911"/>
    <w:rsid w:val="007E4952"/>
    <w:rsid w:val="007E50E1"/>
    <w:rsid w:val="007E5316"/>
    <w:rsid w:val="007E7468"/>
    <w:rsid w:val="007F1886"/>
    <w:rsid w:val="007F327E"/>
    <w:rsid w:val="007F3604"/>
    <w:rsid w:val="007F39AA"/>
    <w:rsid w:val="007F4131"/>
    <w:rsid w:val="007F4B5C"/>
    <w:rsid w:val="007F56FE"/>
    <w:rsid w:val="007F655A"/>
    <w:rsid w:val="007F6D72"/>
    <w:rsid w:val="007F736F"/>
    <w:rsid w:val="008008A8"/>
    <w:rsid w:val="00800A1C"/>
    <w:rsid w:val="00801584"/>
    <w:rsid w:val="00801CB5"/>
    <w:rsid w:val="0080300B"/>
    <w:rsid w:val="008042E6"/>
    <w:rsid w:val="00804BCE"/>
    <w:rsid w:val="00807E16"/>
    <w:rsid w:val="00810E05"/>
    <w:rsid w:val="008115D9"/>
    <w:rsid w:val="008127C8"/>
    <w:rsid w:val="00813194"/>
    <w:rsid w:val="0081351A"/>
    <w:rsid w:val="00815CB6"/>
    <w:rsid w:val="00817B9F"/>
    <w:rsid w:val="00820651"/>
    <w:rsid w:val="00820E87"/>
    <w:rsid w:val="00822E4C"/>
    <w:rsid w:val="00823585"/>
    <w:rsid w:val="00825A1E"/>
    <w:rsid w:val="008273B2"/>
    <w:rsid w:val="0082789D"/>
    <w:rsid w:val="00830526"/>
    <w:rsid w:val="00831307"/>
    <w:rsid w:val="00833700"/>
    <w:rsid w:val="00833946"/>
    <w:rsid w:val="00834415"/>
    <w:rsid w:val="00834931"/>
    <w:rsid w:val="00835DC1"/>
    <w:rsid w:val="008363D8"/>
    <w:rsid w:val="00836BE2"/>
    <w:rsid w:val="00836D84"/>
    <w:rsid w:val="008372EC"/>
    <w:rsid w:val="00837689"/>
    <w:rsid w:val="00837A51"/>
    <w:rsid w:val="00837B6B"/>
    <w:rsid w:val="00837EB5"/>
    <w:rsid w:val="008405FC"/>
    <w:rsid w:val="008409B6"/>
    <w:rsid w:val="00840B90"/>
    <w:rsid w:val="00841240"/>
    <w:rsid w:val="008412D9"/>
    <w:rsid w:val="00841EDE"/>
    <w:rsid w:val="00842C47"/>
    <w:rsid w:val="00843727"/>
    <w:rsid w:val="0084449E"/>
    <w:rsid w:val="00844952"/>
    <w:rsid w:val="00844D12"/>
    <w:rsid w:val="00845274"/>
    <w:rsid w:val="008462EA"/>
    <w:rsid w:val="00846FA8"/>
    <w:rsid w:val="008470E4"/>
    <w:rsid w:val="008474BE"/>
    <w:rsid w:val="00847810"/>
    <w:rsid w:val="008509D6"/>
    <w:rsid w:val="008536AB"/>
    <w:rsid w:val="008567DD"/>
    <w:rsid w:val="00856B82"/>
    <w:rsid w:val="00856CBB"/>
    <w:rsid w:val="008614A7"/>
    <w:rsid w:val="00862731"/>
    <w:rsid w:val="00862BDF"/>
    <w:rsid w:val="00862C15"/>
    <w:rsid w:val="008631B2"/>
    <w:rsid w:val="008635DC"/>
    <w:rsid w:val="00866238"/>
    <w:rsid w:val="0086639A"/>
    <w:rsid w:val="008675C0"/>
    <w:rsid w:val="008701CE"/>
    <w:rsid w:val="00871FC5"/>
    <w:rsid w:val="00872490"/>
    <w:rsid w:val="008724A1"/>
    <w:rsid w:val="00873824"/>
    <w:rsid w:val="00876FE2"/>
    <w:rsid w:val="00880CBF"/>
    <w:rsid w:val="00882585"/>
    <w:rsid w:val="008828A1"/>
    <w:rsid w:val="00885DB3"/>
    <w:rsid w:val="00885DDC"/>
    <w:rsid w:val="0088692B"/>
    <w:rsid w:val="00886A4D"/>
    <w:rsid w:val="008870E2"/>
    <w:rsid w:val="008876DE"/>
    <w:rsid w:val="00887C01"/>
    <w:rsid w:val="00887F15"/>
    <w:rsid w:val="00891231"/>
    <w:rsid w:val="008927E2"/>
    <w:rsid w:val="008931AC"/>
    <w:rsid w:val="00893BA2"/>
    <w:rsid w:val="00893D5C"/>
    <w:rsid w:val="00894FDC"/>
    <w:rsid w:val="00895212"/>
    <w:rsid w:val="0089558F"/>
    <w:rsid w:val="00895E9B"/>
    <w:rsid w:val="00897321"/>
    <w:rsid w:val="00897A0F"/>
    <w:rsid w:val="00897BBB"/>
    <w:rsid w:val="008A0D31"/>
    <w:rsid w:val="008A1202"/>
    <w:rsid w:val="008A3961"/>
    <w:rsid w:val="008A427E"/>
    <w:rsid w:val="008A56CC"/>
    <w:rsid w:val="008A628B"/>
    <w:rsid w:val="008A73DB"/>
    <w:rsid w:val="008A73EE"/>
    <w:rsid w:val="008A79C6"/>
    <w:rsid w:val="008B04EE"/>
    <w:rsid w:val="008B0C8B"/>
    <w:rsid w:val="008B0D1B"/>
    <w:rsid w:val="008B158D"/>
    <w:rsid w:val="008B1E54"/>
    <w:rsid w:val="008B225C"/>
    <w:rsid w:val="008B22D0"/>
    <w:rsid w:val="008B2B7E"/>
    <w:rsid w:val="008B3295"/>
    <w:rsid w:val="008B4EB6"/>
    <w:rsid w:val="008B5A49"/>
    <w:rsid w:val="008B5A93"/>
    <w:rsid w:val="008B61BE"/>
    <w:rsid w:val="008C2DFB"/>
    <w:rsid w:val="008C309C"/>
    <w:rsid w:val="008C3551"/>
    <w:rsid w:val="008C6B27"/>
    <w:rsid w:val="008C70C4"/>
    <w:rsid w:val="008D07D6"/>
    <w:rsid w:val="008D0A87"/>
    <w:rsid w:val="008D0EF6"/>
    <w:rsid w:val="008D3DE4"/>
    <w:rsid w:val="008D453C"/>
    <w:rsid w:val="008D499D"/>
    <w:rsid w:val="008D7523"/>
    <w:rsid w:val="008D75F9"/>
    <w:rsid w:val="008D7727"/>
    <w:rsid w:val="008E03D1"/>
    <w:rsid w:val="008E145B"/>
    <w:rsid w:val="008E307C"/>
    <w:rsid w:val="008E3590"/>
    <w:rsid w:val="008E3915"/>
    <w:rsid w:val="008E43DE"/>
    <w:rsid w:val="008E48AF"/>
    <w:rsid w:val="008E57E6"/>
    <w:rsid w:val="008E59D3"/>
    <w:rsid w:val="008E7489"/>
    <w:rsid w:val="008E757B"/>
    <w:rsid w:val="008E79E4"/>
    <w:rsid w:val="008E7D17"/>
    <w:rsid w:val="008E7D9A"/>
    <w:rsid w:val="008F0A43"/>
    <w:rsid w:val="008F1463"/>
    <w:rsid w:val="008F219B"/>
    <w:rsid w:val="008F2D4B"/>
    <w:rsid w:val="008F3017"/>
    <w:rsid w:val="008F55A4"/>
    <w:rsid w:val="008F68B7"/>
    <w:rsid w:val="008F7E39"/>
    <w:rsid w:val="009013B9"/>
    <w:rsid w:val="009017D4"/>
    <w:rsid w:val="00901BC6"/>
    <w:rsid w:val="00901DFE"/>
    <w:rsid w:val="0090262D"/>
    <w:rsid w:val="00902895"/>
    <w:rsid w:val="00902A26"/>
    <w:rsid w:val="009038CE"/>
    <w:rsid w:val="00907394"/>
    <w:rsid w:val="00907EF4"/>
    <w:rsid w:val="009100D0"/>
    <w:rsid w:val="00910BF0"/>
    <w:rsid w:val="00910C0F"/>
    <w:rsid w:val="00911152"/>
    <w:rsid w:val="0091198F"/>
    <w:rsid w:val="00911EB1"/>
    <w:rsid w:val="00913CC8"/>
    <w:rsid w:val="00915357"/>
    <w:rsid w:val="009156C3"/>
    <w:rsid w:val="009161B9"/>
    <w:rsid w:val="0091680A"/>
    <w:rsid w:val="00916958"/>
    <w:rsid w:val="00916A68"/>
    <w:rsid w:val="0091773B"/>
    <w:rsid w:val="00917E92"/>
    <w:rsid w:val="0092216B"/>
    <w:rsid w:val="00922FCF"/>
    <w:rsid w:val="00923C01"/>
    <w:rsid w:val="009256AA"/>
    <w:rsid w:val="0092685C"/>
    <w:rsid w:val="00927B39"/>
    <w:rsid w:val="0093024B"/>
    <w:rsid w:val="00930841"/>
    <w:rsid w:val="009313CA"/>
    <w:rsid w:val="0093225A"/>
    <w:rsid w:val="0093287D"/>
    <w:rsid w:val="009356DE"/>
    <w:rsid w:val="00936066"/>
    <w:rsid w:val="00936151"/>
    <w:rsid w:val="0093671F"/>
    <w:rsid w:val="00936852"/>
    <w:rsid w:val="0093792B"/>
    <w:rsid w:val="00940E33"/>
    <w:rsid w:val="009411EB"/>
    <w:rsid w:val="009418B9"/>
    <w:rsid w:val="00941A3D"/>
    <w:rsid w:val="00941C4A"/>
    <w:rsid w:val="00941D71"/>
    <w:rsid w:val="00941F57"/>
    <w:rsid w:val="00942B0E"/>
    <w:rsid w:val="00944CB3"/>
    <w:rsid w:val="00944DE6"/>
    <w:rsid w:val="00946657"/>
    <w:rsid w:val="009466A8"/>
    <w:rsid w:val="009469AD"/>
    <w:rsid w:val="009477C2"/>
    <w:rsid w:val="00947F27"/>
    <w:rsid w:val="0095347F"/>
    <w:rsid w:val="009541BC"/>
    <w:rsid w:val="009556DD"/>
    <w:rsid w:val="00955F6D"/>
    <w:rsid w:val="00957404"/>
    <w:rsid w:val="0095791D"/>
    <w:rsid w:val="00957EFD"/>
    <w:rsid w:val="00960BA4"/>
    <w:rsid w:val="00963E2E"/>
    <w:rsid w:val="00963F3E"/>
    <w:rsid w:val="00964B12"/>
    <w:rsid w:val="00964BC6"/>
    <w:rsid w:val="00965878"/>
    <w:rsid w:val="00966255"/>
    <w:rsid w:val="00967157"/>
    <w:rsid w:val="00967DB9"/>
    <w:rsid w:val="00970FFD"/>
    <w:rsid w:val="00971976"/>
    <w:rsid w:val="00971D33"/>
    <w:rsid w:val="0097243F"/>
    <w:rsid w:val="00972D6A"/>
    <w:rsid w:val="00972DB3"/>
    <w:rsid w:val="00973234"/>
    <w:rsid w:val="0097344D"/>
    <w:rsid w:val="00973461"/>
    <w:rsid w:val="00976692"/>
    <w:rsid w:val="00980303"/>
    <w:rsid w:val="009828A6"/>
    <w:rsid w:val="00982F58"/>
    <w:rsid w:val="00984B3D"/>
    <w:rsid w:val="00985E03"/>
    <w:rsid w:val="00986E30"/>
    <w:rsid w:val="009908F2"/>
    <w:rsid w:val="00991AE7"/>
    <w:rsid w:val="009926F1"/>
    <w:rsid w:val="00992B72"/>
    <w:rsid w:val="00993E07"/>
    <w:rsid w:val="00994602"/>
    <w:rsid w:val="009974EB"/>
    <w:rsid w:val="009A0C7B"/>
    <w:rsid w:val="009A0F3D"/>
    <w:rsid w:val="009A210B"/>
    <w:rsid w:val="009A268C"/>
    <w:rsid w:val="009A49B5"/>
    <w:rsid w:val="009A4C94"/>
    <w:rsid w:val="009A5175"/>
    <w:rsid w:val="009A552C"/>
    <w:rsid w:val="009B09EA"/>
    <w:rsid w:val="009B1F38"/>
    <w:rsid w:val="009B219C"/>
    <w:rsid w:val="009B2A7A"/>
    <w:rsid w:val="009B3E60"/>
    <w:rsid w:val="009B3EEB"/>
    <w:rsid w:val="009B4D20"/>
    <w:rsid w:val="009B6205"/>
    <w:rsid w:val="009B765D"/>
    <w:rsid w:val="009B7B23"/>
    <w:rsid w:val="009B7DEE"/>
    <w:rsid w:val="009B7F72"/>
    <w:rsid w:val="009C02DB"/>
    <w:rsid w:val="009C0D1A"/>
    <w:rsid w:val="009C171B"/>
    <w:rsid w:val="009C1F63"/>
    <w:rsid w:val="009C35E7"/>
    <w:rsid w:val="009C372A"/>
    <w:rsid w:val="009C3CE7"/>
    <w:rsid w:val="009C3F36"/>
    <w:rsid w:val="009C40A6"/>
    <w:rsid w:val="009C4C44"/>
    <w:rsid w:val="009C543C"/>
    <w:rsid w:val="009C5FFF"/>
    <w:rsid w:val="009C6531"/>
    <w:rsid w:val="009C6738"/>
    <w:rsid w:val="009C67FF"/>
    <w:rsid w:val="009C6D09"/>
    <w:rsid w:val="009C7F39"/>
    <w:rsid w:val="009D1066"/>
    <w:rsid w:val="009D2E47"/>
    <w:rsid w:val="009D48DB"/>
    <w:rsid w:val="009D4946"/>
    <w:rsid w:val="009D4A14"/>
    <w:rsid w:val="009D5DD0"/>
    <w:rsid w:val="009D616A"/>
    <w:rsid w:val="009D63AD"/>
    <w:rsid w:val="009D6BFA"/>
    <w:rsid w:val="009D6D14"/>
    <w:rsid w:val="009E016E"/>
    <w:rsid w:val="009E07E8"/>
    <w:rsid w:val="009E1F36"/>
    <w:rsid w:val="009E24EB"/>
    <w:rsid w:val="009E392C"/>
    <w:rsid w:val="009E4A0B"/>
    <w:rsid w:val="009E4F95"/>
    <w:rsid w:val="009E5336"/>
    <w:rsid w:val="009E7003"/>
    <w:rsid w:val="009E75A6"/>
    <w:rsid w:val="009F07DD"/>
    <w:rsid w:val="009F22A6"/>
    <w:rsid w:val="009F2FA2"/>
    <w:rsid w:val="009F42AD"/>
    <w:rsid w:val="009F6EC0"/>
    <w:rsid w:val="00A00738"/>
    <w:rsid w:val="00A00949"/>
    <w:rsid w:val="00A0249C"/>
    <w:rsid w:val="00A02F9C"/>
    <w:rsid w:val="00A04D95"/>
    <w:rsid w:val="00A0549A"/>
    <w:rsid w:val="00A0614B"/>
    <w:rsid w:val="00A07305"/>
    <w:rsid w:val="00A075BC"/>
    <w:rsid w:val="00A10955"/>
    <w:rsid w:val="00A10A2C"/>
    <w:rsid w:val="00A125C6"/>
    <w:rsid w:val="00A1455D"/>
    <w:rsid w:val="00A147C7"/>
    <w:rsid w:val="00A16494"/>
    <w:rsid w:val="00A17304"/>
    <w:rsid w:val="00A1737D"/>
    <w:rsid w:val="00A20E6A"/>
    <w:rsid w:val="00A22328"/>
    <w:rsid w:val="00A223C4"/>
    <w:rsid w:val="00A239E3"/>
    <w:rsid w:val="00A23E40"/>
    <w:rsid w:val="00A24EEE"/>
    <w:rsid w:val="00A253D8"/>
    <w:rsid w:val="00A253FB"/>
    <w:rsid w:val="00A25A85"/>
    <w:rsid w:val="00A26460"/>
    <w:rsid w:val="00A27A46"/>
    <w:rsid w:val="00A30B5E"/>
    <w:rsid w:val="00A32110"/>
    <w:rsid w:val="00A33BA4"/>
    <w:rsid w:val="00A33E33"/>
    <w:rsid w:val="00A34FE1"/>
    <w:rsid w:val="00A37C82"/>
    <w:rsid w:val="00A4027C"/>
    <w:rsid w:val="00A40F3F"/>
    <w:rsid w:val="00A41569"/>
    <w:rsid w:val="00A41861"/>
    <w:rsid w:val="00A427F8"/>
    <w:rsid w:val="00A42A6A"/>
    <w:rsid w:val="00A42A90"/>
    <w:rsid w:val="00A43256"/>
    <w:rsid w:val="00A43586"/>
    <w:rsid w:val="00A454D5"/>
    <w:rsid w:val="00A46615"/>
    <w:rsid w:val="00A46A80"/>
    <w:rsid w:val="00A47184"/>
    <w:rsid w:val="00A476C5"/>
    <w:rsid w:val="00A47846"/>
    <w:rsid w:val="00A51A18"/>
    <w:rsid w:val="00A525E8"/>
    <w:rsid w:val="00A53B71"/>
    <w:rsid w:val="00A55DEB"/>
    <w:rsid w:val="00A570AA"/>
    <w:rsid w:val="00A60220"/>
    <w:rsid w:val="00A61B88"/>
    <w:rsid w:val="00A62B09"/>
    <w:rsid w:val="00A63908"/>
    <w:rsid w:val="00A65A34"/>
    <w:rsid w:val="00A65D7D"/>
    <w:rsid w:val="00A66B8D"/>
    <w:rsid w:val="00A67050"/>
    <w:rsid w:val="00A67EE1"/>
    <w:rsid w:val="00A714BE"/>
    <w:rsid w:val="00A722AC"/>
    <w:rsid w:val="00A74444"/>
    <w:rsid w:val="00A75133"/>
    <w:rsid w:val="00A7670E"/>
    <w:rsid w:val="00A76776"/>
    <w:rsid w:val="00A76AF9"/>
    <w:rsid w:val="00A77CAA"/>
    <w:rsid w:val="00A805CE"/>
    <w:rsid w:val="00A81CFA"/>
    <w:rsid w:val="00A842A7"/>
    <w:rsid w:val="00A85F9A"/>
    <w:rsid w:val="00A86247"/>
    <w:rsid w:val="00A86A02"/>
    <w:rsid w:val="00A86E3D"/>
    <w:rsid w:val="00A9010C"/>
    <w:rsid w:val="00A903FA"/>
    <w:rsid w:val="00A90EB2"/>
    <w:rsid w:val="00A91555"/>
    <w:rsid w:val="00A918F0"/>
    <w:rsid w:val="00A92256"/>
    <w:rsid w:val="00A95C60"/>
    <w:rsid w:val="00A95D9C"/>
    <w:rsid w:val="00AA1268"/>
    <w:rsid w:val="00AA2C09"/>
    <w:rsid w:val="00AA303A"/>
    <w:rsid w:val="00AA32AF"/>
    <w:rsid w:val="00AA5BBE"/>
    <w:rsid w:val="00AA601B"/>
    <w:rsid w:val="00AA6083"/>
    <w:rsid w:val="00AA618E"/>
    <w:rsid w:val="00AA7C36"/>
    <w:rsid w:val="00AA7F98"/>
    <w:rsid w:val="00AB19DF"/>
    <w:rsid w:val="00AB2980"/>
    <w:rsid w:val="00AB2CB0"/>
    <w:rsid w:val="00AB2F21"/>
    <w:rsid w:val="00AB3378"/>
    <w:rsid w:val="00AB36FB"/>
    <w:rsid w:val="00AB3A4D"/>
    <w:rsid w:val="00AB44A2"/>
    <w:rsid w:val="00AB4728"/>
    <w:rsid w:val="00AB5F9F"/>
    <w:rsid w:val="00AB6672"/>
    <w:rsid w:val="00AB7774"/>
    <w:rsid w:val="00AB7AAC"/>
    <w:rsid w:val="00AB7D20"/>
    <w:rsid w:val="00AC0429"/>
    <w:rsid w:val="00AC0F9D"/>
    <w:rsid w:val="00AC21F5"/>
    <w:rsid w:val="00AC2841"/>
    <w:rsid w:val="00AC2B13"/>
    <w:rsid w:val="00AC31B4"/>
    <w:rsid w:val="00AC3EEF"/>
    <w:rsid w:val="00AC446E"/>
    <w:rsid w:val="00AD282F"/>
    <w:rsid w:val="00AD29A3"/>
    <w:rsid w:val="00AD45BA"/>
    <w:rsid w:val="00AD510B"/>
    <w:rsid w:val="00AD7BE0"/>
    <w:rsid w:val="00AE09C5"/>
    <w:rsid w:val="00AE2CAB"/>
    <w:rsid w:val="00AE438A"/>
    <w:rsid w:val="00AE4436"/>
    <w:rsid w:val="00AE46DF"/>
    <w:rsid w:val="00AE4EC3"/>
    <w:rsid w:val="00AE5316"/>
    <w:rsid w:val="00AE69CF"/>
    <w:rsid w:val="00AE6A55"/>
    <w:rsid w:val="00AE75F8"/>
    <w:rsid w:val="00AF0CBA"/>
    <w:rsid w:val="00AF153D"/>
    <w:rsid w:val="00AF15E8"/>
    <w:rsid w:val="00AF2A9E"/>
    <w:rsid w:val="00AF2DF0"/>
    <w:rsid w:val="00AF3888"/>
    <w:rsid w:val="00AF3F66"/>
    <w:rsid w:val="00AF4697"/>
    <w:rsid w:val="00AF6BFF"/>
    <w:rsid w:val="00AF7218"/>
    <w:rsid w:val="00B0039D"/>
    <w:rsid w:val="00B00C71"/>
    <w:rsid w:val="00B010F8"/>
    <w:rsid w:val="00B0252F"/>
    <w:rsid w:val="00B02713"/>
    <w:rsid w:val="00B03DDB"/>
    <w:rsid w:val="00B0536A"/>
    <w:rsid w:val="00B06D67"/>
    <w:rsid w:val="00B06F74"/>
    <w:rsid w:val="00B109FA"/>
    <w:rsid w:val="00B11C0A"/>
    <w:rsid w:val="00B12704"/>
    <w:rsid w:val="00B12D09"/>
    <w:rsid w:val="00B1370C"/>
    <w:rsid w:val="00B137E3"/>
    <w:rsid w:val="00B13C0E"/>
    <w:rsid w:val="00B141AB"/>
    <w:rsid w:val="00B14A6F"/>
    <w:rsid w:val="00B14E59"/>
    <w:rsid w:val="00B15884"/>
    <w:rsid w:val="00B16537"/>
    <w:rsid w:val="00B169EE"/>
    <w:rsid w:val="00B16D43"/>
    <w:rsid w:val="00B16FA3"/>
    <w:rsid w:val="00B1719D"/>
    <w:rsid w:val="00B17302"/>
    <w:rsid w:val="00B178EE"/>
    <w:rsid w:val="00B20651"/>
    <w:rsid w:val="00B20D17"/>
    <w:rsid w:val="00B21E39"/>
    <w:rsid w:val="00B24645"/>
    <w:rsid w:val="00B251D6"/>
    <w:rsid w:val="00B25443"/>
    <w:rsid w:val="00B25B59"/>
    <w:rsid w:val="00B26A8B"/>
    <w:rsid w:val="00B27A36"/>
    <w:rsid w:val="00B27DDC"/>
    <w:rsid w:val="00B30EA8"/>
    <w:rsid w:val="00B3115D"/>
    <w:rsid w:val="00B31216"/>
    <w:rsid w:val="00B31397"/>
    <w:rsid w:val="00B31474"/>
    <w:rsid w:val="00B3324E"/>
    <w:rsid w:val="00B35225"/>
    <w:rsid w:val="00B35D49"/>
    <w:rsid w:val="00B36988"/>
    <w:rsid w:val="00B370E1"/>
    <w:rsid w:val="00B40163"/>
    <w:rsid w:val="00B406ED"/>
    <w:rsid w:val="00B40F5E"/>
    <w:rsid w:val="00B4114B"/>
    <w:rsid w:val="00B41C05"/>
    <w:rsid w:val="00B42373"/>
    <w:rsid w:val="00B43D41"/>
    <w:rsid w:val="00B47C0B"/>
    <w:rsid w:val="00B47DEE"/>
    <w:rsid w:val="00B502B2"/>
    <w:rsid w:val="00B50466"/>
    <w:rsid w:val="00B518E2"/>
    <w:rsid w:val="00B51C9A"/>
    <w:rsid w:val="00B54A64"/>
    <w:rsid w:val="00B555A5"/>
    <w:rsid w:val="00B6170C"/>
    <w:rsid w:val="00B61E6C"/>
    <w:rsid w:val="00B620CC"/>
    <w:rsid w:val="00B624F5"/>
    <w:rsid w:val="00B62614"/>
    <w:rsid w:val="00B62F5A"/>
    <w:rsid w:val="00B64A9F"/>
    <w:rsid w:val="00B64D16"/>
    <w:rsid w:val="00B70F52"/>
    <w:rsid w:val="00B71A35"/>
    <w:rsid w:val="00B72399"/>
    <w:rsid w:val="00B73B33"/>
    <w:rsid w:val="00B7449A"/>
    <w:rsid w:val="00B745BB"/>
    <w:rsid w:val="00B75992"/>
    <w:rsid w:val="00B7617E"/>
    <w:rsid w:val="00B80FBB"/>
    <w:rsid w:val="00B811C7"/>
    <w:rsid w:val="00B817D4"/>
    <w:rsid w:val="00B81FAD"/>
    <w:rsid w:val="00B8203B"/>
    <w:rsid w:val="00B82240"/>
    <w:rsid w:val="00B82D88"/>
    <w:rsid w:val="00B8441E"/>
    <w:rsid w:val="00B84D60"/>
    <w:rsid w:val="00B84DF1"/>
    <w:rsid w:val="00B84EA7"/>
    <w:rsid w:val="00B85203"/>
    <w:rsid w:val="00B85ABB"/>
    <w:rsid w:val="00B85EE8"/>
    <w:rsid w:val="00B8675F"/>
    <w:rsid w:val="00B86B30"/>
    <w:rsid w:val="00B87164"/>
    <w:rsid w:val="00B91DDD"/>
    <w:rsid w:val="00B9208D"/>
    <w:rsid w:val="00B92B3C"/>
    <w:rsid w:val="00B92B6C"/>
    <w:rsid w:val="00B92F81"/>
    <w:rsid w:val="00B9372F"/>
    <w:rsid w:val="00B93EA6"/>
    <w:rsid w:val="00B940CA"/>
    <w:rsid w:val="00B9416F"/>
    <w:rsid w:val="00B942A2"/>
    <w:rsid w:val="00B94482"/>
    <w:rsid w:val="00B969E2"/>
    <w:rsid w:val="00B97948"/>
    <w:rsid w:val="00BA18A0"/>
    <w:rsid w:val="00BA24D8"/>
    <w:rsid w:val="00BA31C7"/>
    <w:rsid w:val="00BA3230"/>
    <w:rsid w:val="00BA360C"/>
    <w:rsid w:val="00BA3EFC"/>
    <w:rsid w:val="00BA4A4C"/>
    <w:rsid w:val="00BA5ADA"/>
    <w:rsid w:val="00BA6E22"/>
    <w:rsid w:val="00BA77BC"/>
    <w:rsid w:val="00BA78D1"/>
    <w:rsid w:val="00BB00BB"/>
    <w:rsid w:val="00BB1A27"/>
    <w:rsid w:val="00BB20DF"/>
    <w:rsid w:val="00BB2484"/>
    <w:rsid w:val="00BB2C28"/>
    <w:rsid w:val="00BB2D0C"/>
    <w:rsid w:val="00BB47F3"/>
    <w:rsid w:val="00BB5118"/>
    <w:rsid w:val="00BB60FA"/>
    <w:rsid w:val="00BB64E4"/>
    <w:rsid w:val="00BB6CEF"/>
    <w:rsid w:val="00BB781F"/>
    <w:rsid w:val="00BC2031"/>
    <w:rsid w:val="00BC215E"/>
    <w:rsid w:val="00BC30AA"/>
    <w:rsid w:val="00BC3315"/>
    <w:rsid w:val="00BC3702"/>
    <w:rsid w:val="00BC498F"/>
    <w:rsid w:val="00BC6401"/>
    <w:rsid w:val="00BC6761"/>
    <w:rsid w:val="00BC67AE"/>
    <w:rsid w:val="00BC6E54"/>
    <w:rsid w:val="00BD243B"/>
    <w:rsid w:val="00BD30E9"/>
    <w:rsid w:val="00BD350B"/>
    <w:rsid w:val="00BD3B6E"/>
    <w:rsid w:val="00BD49E3"/>
    <w:rsid w:val="00BD4D63"/>
    <w:rsid w:val="00BE06F4"/>
    <w:rsid w:val="00BE0CEE"/>
    <w:rsid w:val="00BE121E"/>
    <w:rsid w:val="00BE7CBC"/>
    <w:rsid w:val="00BF066D"/>
    <w:rsid w:val="00BF07C3"/>
    <w:rsid w:val="00BF12BD"/>
    <w:rsid w:val="00BF235F"/>
    <w:rsid w:val="00BF37FA"/>
    <w:rsid w:val="00BF4A1D"/>
    <w:rsid w:val="00BF6348"/>
    <w:rsid w:val="00BF6864"/>
    <w:rsid w:val="00BF6A28"/>
    <w:rsid w:val="00BF6AD5"/>
    <w:rsid w:val="00BF6D33"/>
    <w:rsid w:val="00BF7776"/>
    <w:rsid w:val="00BF7ACE"/>
    <w:rsid w:val="00C00DB2"/>
    <w:rsid w:val="00C01720"/>
    <w:rsid w:val="00C0238D"/>
    <w:rsid w:val="00C034E1"/>
    <w:rsid w:val="00C0610E"/>
    <w:rsid w:val="00C0644C"/>
    <w:rsid w:val="00C06B41"/>
    <w:rsid w:val="00C07D4F"/>
    <w:rsid w:val="00C10874"/>
    <w:rsid w:val="00C11745"/>
    <w:rsid w:val="00C11848"/>
    <w:rsid w:val="00C11C79"/>
    <w:rsid w:val="00C12996"/>
    <w:rsid w:val="00C12C75"/>
    <w:rsid w:val="00C1302C"/>
    <w:rsid w:val="00C140E7"/>
    <w:rsid w:val="00C152CF"/>
    <w:rsid w:val="00C157D7"/>
    <w:rsid w:val="00C17E30"/>
    <w:rsid w:val="00C21F2D"/>
    <w:rsid w:val="00C2310B"/>
    <w:rsid w:val="00C23BEE"/>
    <w:rsid w:val="00C24511"/>
    <w:rsid w:val="00C249A6"/>
    <w:rsid w:val="00C25B60"/>
    <w:rsid w:val="00C26271"/>
    <w:rsid w:val="00C321A1"/>
    <w:rsid w:val="00C32492"/>
    <w:rsid w:val="00C326F3"/>
    <w:rsid w:val="00C330C5"/>
    <w:rsid w:val="00C35447"/>
    <w:rsid w:val="00C35712"/>
    <w:rsid w:val="00C41E8A"/>
    <w:rsid w:val="00C42D58"/>
    <w:rsid w:val="00C4459A"/>
    <w:rsid w:val="00C4485B"/>
    <w:rsid w:val="00C45E94"/>
    <w:rsid w:val="00C462D6"/>
    <w:rsid w:val="00C476C8"/>
    <w:rsid w:val="00C47AF9"/>
    <w:rsid w:val="00C50517"/>
    <w:rsid w:val="00C5053A"/>
    <w:rsid w:val="00C5064F"/>
    <w:rsid w:val="00C50845"/>
    <w:rsid w:val="00C512C5"/>
    <w:rsid w:val="00C5132A"/>
    <w:rsid w:val="00C52A0F"/>
    <w:rsid w:val="00C53BC9"/>
    <w:rsid w:val="00C54241"/>
    <w:rsid w:val="00C5626D"/>
    <w:rsid w:val="00C56643"/>
    <w:rsid w:val="00C566A7"/>
    <w:rsid w:val="00C56890"/>
    <w:rsid w:val="00C56BD4"/>
    <w:rsid w:val="00C618A6"/>
    <w:rsid w:val="00C624D1"/>
    <w:rsid w:val="00C62972"/>
    <w:rsid w:val="00C62F53"/>
    <w:rsid w:val="00C63534"/>
    <w:rsid w:val="00C64B54"/>
    <w:rsid w:val="00C652BF"/>
    <w:rsid w:val="00C662B4"/>
    <w:rsid w:val="00C70237"/>
    <w:rsid w:val="00C70384"/>
    <w:rsid w:val="00C72EC7"/>
    <w:rsid w:val="00C73A77"/>
    <w:rsid w:val="00C73B49"/>
    <w:rsid w:val="00C73C7A"/>
    <w:rsid w:val="00C742E6"/>
    <w:rsid w:val="00C74CD0"/>
    <w:rsid w:val="00C74DE1"/>
    <w:rsid w:val="00C754D1"/>
    <w:rsid w:val="00C775F1"/>
    <w:rsid w:val="00C77C0C"/>
    <w:rsid w:val="00C8054B"/>
    <w:rsid w:val="00C82025"/>
    <w:rsid w:val="00C823A4"/>
    <w:rsid w:val="00C84295"/>
    <w:rsid w:val="00C84C27"/>
    <w:rsid w:val="00C863C4"/>
    <w:rsid w:val="00C901C7"/>
    <w:rsid w:val="00C90C92"/>
    <w:rsid w:val="00C910A2"/>
    <w:rsid w:val="00C91F7B"/>
    <w:rsid w:val="00C92A76"/>
    <w:rsid w:val="00C92D69"/>
    <w:rsid w:val="00C94623"/>
    <w:rsid w:val="00C94E0E"/>
    <w:rsid w:val="00C95633"/>
    <w:rsid w:val="00C9582E"/>
    <w:rsid w:val="00C95891"/>
    <w:rsid w:val="00C9777A"/>
    <w:rsid w:val="00C97F05"/>
    <w:rsid w:val="00CA0E3F"/>
    <w:rsid w:val="00CA2C64"/>
    <w:rsid w:val="00CA2C88"/>
    <w:rsid w:val="00CA2DA6"/>
    <w:rsid w:val="00CA474B"/>
    <w:rsid w:val="00CA5AB0"/>
    <w:rsid w:val="00CA728D"/>
    <w:rsid w:val="00CB0541"/>
    <w:rsid w:val="00CB0794"/>
    <w:rsid w:val="00CB265A"/>
    <w:rsid w:val="00CB4171"/>
    <w:rsid w:val="00CB41CE"/>
    <w:rsid w:val="00CB49B5"/>
    <w:rsid w:val="00CB4F0A"/>
    <w:rsid w:val="00CB5445"/>
    <w:rsid w:val="00CB5811"/>
    <w:rsid w:val="00CB5BFE"/>
    <w:rsid w:val="00CB5C7D"/>
    <w:rsid w:val="00CB60AC"/>
    <w:rsid w:val="00CC00EE"/>
    <w:rsid w:val="00CC0D50"/>
    <w:rsid w:val="00CC2592"/>
    <w:rsid w:val="00CC30B1"/>
    <w:rsid w:val="00CC38AD"/>
    <w:rsid w:val="00CC647F"/>
    <w:rsid w:val="00CC74C1"/>
    <w:rsid w:val="00CC7F44"/>
    <w:rsid w:val="00CD0BD0"/>
    <w:rsid w:val="00CD1E37"/>
    <w:rsid w:val="00CD212F"/>
    <w:rsid w:val="00CD2546"/>
    <w:rsid w:val="00CD2837"/>
    <w:rsid w:val="00CD59DA"/>
    <w:rsid w:val="00CD7795"/>
    <w:rsid w:val="00CD7D48"/>
    <w:rsid w:val="00CE08E7"/>
    <w:rsid w:val="00CE1A1C"/>
    <w:rsid w:val="00CE1FA3"/>
    <w:rsid w:val="00CE44B3"/>
    <w:rsid w:val="00CE63B1"/>
    <w:rsid w:val="00CE65B5"/>
    <w:rsid w:val="00CE7130"/>
    <w:rsid w:val="00CE7CC4"/>
    <w:rsid w:val="00CE7ED3"/>
    <w:rsid w:val="00CF3B85"/>
    <w:rsid w:val="00CF42EE"/>
    <w:rsid w:val="00CF4708"/>
    <w:rsid w:val="00D003D7"/>
    <w:rsid w:val="00D0155A"/>
    <w:rsid w:val="00D0174D"/>
    <w:rsid w:val="00D020B4"/>
    <w:rsid w:val="00D03BFA"/>
    <w:rsid w:val="00D04373"/>
    <w:rsid w:val="00D04623"/>
    <w:rsid w:val="00D047B4"/>
    <w:rsid w:val="00D04A3B"/>
    <w:rsid w:val="00D05507"/>
    <w:rsid w:val="00D05644"/>
    <w:rsid w:val="00D06E0C"/>
    <w:rsid w:val="00D103FA"/>
    <w:rsid w:val="00D10844"/>
    <w:rsid w:val="00D112F1"/>
    <w:rsid w:val="00D121B5"/>
    <w:rsid w:val="00D144C4"/>
    <w:rsid w:val="00D14A20"/>
    <w:rsid w:val="00D16730"/>
    <w:rsid w:val="00D1738C"/>
    <w:rsid w:val="00D215C6"/>
    <w:rsid w:val="00D229BD"/>
    <w:rsid w:val="00D255FB"/>
    <w:rsid w:val="00D25A4A"/>
    <w:rsid w:val="00D26421"/>
    <w:rsid w:val="00D30414"/>
    <w:rsid w:val="00D3055A"/>
    <w:rsid w:val="00D31461"/>
    <w:rsid w:val="00D3205E"/>
    <w:rsid w:val="00D32372"/>
    <w:rsid w:val="00D3238D"/>
    <w:rsid w:val="00D32F63"/>
    <w:rsid w:val="00D330B1"/>
    <w:rsid w:val="00D3340E"/>
    <w:rsid w:val="00D3385E"/>
    <w:rsid w:val="00D345C3"/>
    <w:rsid w:val="00D3488B"/>
    <w:rsid w:val="00D379F0"/>
    <w:rsid w:val="00D40645"/>
    <w:rsid w:val="00D4191C"/>
    <w:rsid w:val="00D41D1E"/>
    <w:rsid w:val="00D41F7A"/>
    <w:rsid w:val="00D4244F"/>
    <w:rsid w:val="00D43431"/>
    <w:rsid w:val="00D4375F"/>
    <w:rsid w:val="00D43E2E"/>
    <w:rsid w:val="00D4416F"/>
    <w:rsid w:val="00D44B76"/>
    <w:rsid w:val="00D44CD9"/>
    <w:rsid w:val="00D4597B"/>
    <w:rsid w:val="00D45C7A"/>
    <w:rsid w:val="00D45FD4"/>
    <w:rsid w:val="00D47DF4"/>
    <w:rsid w:val="00D51CB5"/>
    <w:rsid w:val="00D522CA"/>
    <w:rsid w:val="00D52557"/>
    <w:rsid w:val="00D53063"/>
    <w:rsid w:val="00D5373B"/>
    <w:rsid w:val="00D53858"/>
    <w:rsid w:val="00D54318"/>
    <w:rsid w:val="00D54DE1"/>
    <w:rsid w:val="00D61AFC"/>
    <w:rsid w:val="00D61C68"/>
    <w:rsid w:val="00D6259A"/>
    <w:rsid w:val="00D63FB4"/>
    <w:rsid w:val="00D64398"/>
    <w:rsid w:val="00D657BB"/>
    <w:rsid w:val="00D6639D"/>
    <w:rsid w:val="00D72B2B"/>
    <w:rsid w:val="00D735DB"/>
    <w:rsid w:val="00D74617"/>
    <w:rsid w:val="00D768D3"/>
    <w:rsid w:val="00D77C89"/>
    <w:rsid w:val="00D81103"/>
    <w:rsid w:val="00D81DC2"/>
    <w:rsid w:val="00D82C9C"/>
    <w:rsid w:val="00D82FB7"/>
    <w:rsid w:val="00D83012"/>
    <w:rsid w:val="00D83211"/>
    <w:rsid w:val="00D8458F"/>
    <w:rsid w:val="00D845CF"/>
    <w:rsid w:val="00D85760"/>
    <w:rsid w:val="00D85970"/>
    <w:rsid w:val="00D8613C"/>
    <w:rsid w:val="00D86AD2"/>
    <w:rsid w:val="00D87BAF"/>
    <w:rsid w:val="00D90B55"/>
    <w:rsid w:val="00D910C6"/>
    <w:rsid w:val="00D911FB"/>
    <w:rsid w:val="00D94908"/>
    <w:rsid w:val="00D95711"/>
    <w:rsid w:val="00D960BE"/>
    <w:rsid w:val="00D96C19"/>
    <w:rsid w:val="00D96C92"/>
    <w:rsid w:val="00DA0AD6"/>
    <w:rsid w:val="00DA23E5"/>
    <w:rsid w:val="00DA465A"/>
    <w:rsid w:val="00DA5B5D"/>
    <w:rsid w:val="00DA61CC"/>
    <w:rsid w:val="00DA7565"/>
    <w:rsid w:val="00DB052C"/>
    <w:rsid w:val="00DB052E"/>
    <w:rsid w:val="00DB10A6"/>
    <w:rsid w:val="00DB1951"/>
    <w:rsid w:val="00DB2ABD"/>
    <w:rsid w:val="00DB2FC6"/>
    <w:rsid w:val="00DB3102"/>
    <w:rsid w:val="00DB414F"/>
    <w:rsid w:val="00DB4836"/>
    <w:rsid w:val="00DB77AF"/>
    <w:rsid w:val="00DC07AD"/>
    <w:rsid w:val="00DC0DFF"/>
    <w:rsid w:val="00DC1AAE"/>
    <w:rsid w:val="00DC2C2F"/>
    <w:rsid w:val="00DC33B8"/>
    <w:rsid w:val="00DC3482"/>
    <w:rsid w:val="00DC46D4"/>
    <w:rsid w:val="00DC485F"/>
    <w:rsid w:val="00DC5419"/>
    <w:rsid w:val="00DC6801"/>
    <w:rsid w:val="00DC68C5"/>
    <w:rsid w:val="00DD014E"/>
    <w:rsid w:val="00DD13BD"/>
    <w:rsid w:val="00DD27CC"/>
    <w:rsid w:val="00DD3672"/>
    <w:rsid w:val="00DD4BC6"/>
    <w:rsid w:val="00DD63FF"/>
    <w:rsid w:val="00DD6D2C"/>
    <w:rsid w:val="00DD7347"/>
    <w:rsid w:val="00DD7C98"/>
    <w:rsid w:val="00DD7F84"/>
    <w:rsid w:val="00DE21CE"/>
    <w:rsid w:val="00DE28F1"/>
    <w:rsid w:val="00DE2EBC"/>
    <w:rsid w:val="00DE65F9"/>
    <w:rsid w:val="00DE6B4C"/>
    <w:rsid w:val="00DE729F"/>
    <w:rsid w:val="00DF0179"/>
    <w:rsid w:val="00DF04E9"/>
    <w:rsid w:val="00DF0DCA"/>
    <w:rsid w:val="00DF2DE9"/>
    <w:rsid w:val="00DF4C6C"/>
    <w:rsid w:val="00DF4D1A"/>
    <w:rsid w:val="00DF51EA"/>
    <w:rsid w:val="00DF563E"/>
    <w:rsid w:val="00DF5FFD"/>
    <w:rsid w:val="00DF642C"/>
    <w:rsid w:val="00DF6ACA"/>
    <w:rsid w:val="00E00E75"/>
    <w:rsid w:val="00E016FC"/>
    <w:rsid w:val="00E01A98"/>
    <w:rsid w:val="00E01F4B"/>
    <w:rsid w:val="00E030F4"/>
    <w:rsid w:val="00E04328"/>
    <w:rsid w:val="00E0465E"/>
    <w:rsid w:val="00E046D9"/>
    <w:rsid w:val="00E0709D"/>
    <w:rsid w:val="00E07A40"/>
    <w:rsid w:val="00E1060F"/>
    <w:rsid w:val="00E1111A"/>
    <w:rsid w:val="00E11703"/>
    <w:rsid w:val="00E13713"/>
    <w:rsid w:val="00E137DC"/>
    <w:rsid w:val="00E13CD7"/>
    <w:rsid w:val="00E158C3"/>
    <w:rsid w:val="00E15901"/>
    <w:rsid w:val="00E15E93"/>
    <w:rsid w:val="00E166D5"/>
    <w:rsid w:val="00E17692"/>
    <w:rsid w:val="00E209E1"/>
    <w:rsid w:val="00E2122D"/>
    <w:rsid w:val="00E21C45"/>
    <w:rsid w:val="00E22520"/>
    <w:rsid w:val="00E22EF3"/>
    <w:rsid w:val="00E236B0"/>
    <w:rsid w:val="00E23FC9"/>
    <w:rsid w:val="00E263A8"/>
    <w:rsid w:val="00E2652B"/>
    <w:rsid w:val="00E2662A"/>
    <w:rsid w:val="00E267EC"/>
    <w:rsid w:val="00E26D84"/>
    <w:rsid w:val="00E26ED4"/>
    <w:rsid w:val="00E26F46"/>
    <w:rsid w:val="00E26F48"/>
    <w:rsid w:val="00E303FB"/>
    <w:rsid w:val="00E31701"/>
    <w:rsid w:val="00E34EF5"/>
    <w:rsid w:val="00E357DA"/>
    <w:rsid w:val="00E3735E"/>
    <w:rsid w:val="00E37595"/>
    <w:rsid w:val="00E378E7"/>
    <w:rsid w:val="00E379A0"/>
    <w:rsid w:val="00E40A94"/>
    <w:rsid w:val="00E412C1"/>
    <w:rsid w:val="00E419D3"/>
    <w:rsid w:val="00E44255"/>
    <w:rsid w:val="00E446FF"/>
    <w:rsid w:val="00E45AB2"/>
    <w:rsid w:val="00E46025"/>
    <w:rsid w:val="00E465EA"/>
    <w:rsid w:val="00E47EE0"/>
    <w:rsid w:val="00E505C8"/>
    <w:rsid w:val="00E5108E"/>
    <w:rsid w:val="00E5477C"/>
    <w:rsid w:val="00E57847"/>
    <w:rsid w:val="00E57F10"/>
    <w:rsid w:val="00E605D4"/>
    <w:rsid w:val="00E60F40"/>
    <w:rsid w:val="00E61EEB"/>
    <w:rsid w:val="00E620ED"/>
    <w:rsid w:val="00E6219C"/>
    <w:rsid w:val="00E6248C"/>
    <w:rsid w:val="00E629BF"/>
    <w:rsid w:val="00E65FF1"/>
    <w:rsid w:val="00E6693F"/>
    <w:rsid w:val="00E70045"/>
    <w:rsid w:val="00E70081"/>
    <w:rsid w:val="00E72585"/>
    <w:rsid w:val="00E72F1A"/>
    <w:rsid w:val="00E74B7E"/>
    <w:rsid w:val="00E74D88"/>
    <w:rsid w:val="00E7533C"/>
    <w:rsid w:val="00E76497"/>
    <w:rsid w:val="00E77E30"/>
    <w:rsid w:val="00E803BC"/>
    <w:rsid w:val="00E803E6"/>
    <w:rsid w:val="00E80506"/>
    <w:rsid w:val="00E811A0"/>
    <w:rsid w:val="00E81643"/>
    <w:rsid w:val="00E81BB2"/>
    <w:rsid w:val="00E82B84"/>
    <w:rsid w:val="00E82C05"/>
    <w:rsid w:val="00E845AF"/>
    <w:rsid w:val="00E84D9D"/>
    <w:rsid w:val="00E84E59"/>
    <w:rsid w:val="00E850D9"/>
    <w:rsid w:val="00E853D9"/>
    <w:rsid w:val="00E85A99"/>
    <w:rsid w:val="00E911EC"/>
    <w:rsid w:val="00E9258C"/>
    <w:rsid w:val="00E92CFA"/>
    <w:rsid w:val="00E93C9C"/>
    <w:rsid w:val="00E93D87"/>
    <w:rsid w:val="00E95368"/>
    <w:rsid w:val="00E96532"/>
    <w:rsid w:val="00E97189"/>
    <w:rsid w:val="00EA084E"/>
    <w:rsid w:val="00EA2627"/>
    <w:rsid w:val="00EA4BEB"/>
    <w:rsid w:val="00EB0271"/>
    <w:rsid w:val="00EB1F8A"/>
    <w:rsid w:val="00EB33E0"/>
    <w:rsid w:val="00EB5074"/>
    <w:rsid w:val="00EB5B46"/>
    <w:rsid w:val="00EB5D11"/>
    <w:rsid w:val="00EC0703"/>
    <w:rsid w:val="00EC0957"/>
    <w:rsid w:val="00EC0D93"/>
    <w:rsid w:val="00EC1452"/>
    <w:rsid w:val="00EC2C2A"/>
    <w:rsid w:val="00EC2D9D"/>
    <w:rsid w:val="00EC345D"/>
    <w:rsid w:val="00EC470D"/>
    <w:rsid w:val="00EC4B78"/>
    <w:rsid w:val="00EC4DF5"/>
    <w:rsid w:val="00EC556A"/>
    <w:rsid w:val="00EC7A4B"/>
    <w:rsid w:val="00ED0FD2"/>
    <w:rsid w:val="00ED22AB"/>
    <w:rsid w:val="00ED3F73"/>
    <w:rsid w:val="00ED5853"/>
    <w:rsid w:val="00ED5C92"/>
    <w:rsid w:val="00ED5CE9"/>
    <w:rsid w:val="00ED63C4"/>
    <w:rsid w:val="00ED683A"/>
    <w:rsid w:val="00EE0028"/>
    <w:rsid w:val="00EE0D18"/>
    <w:rsid w:val="00EE114A"/>
    <w:rsid w:val="00EE2EBB"/>
    <w:rsid w:val="00EE3008"/>
    <w:rsid w:val="00EE54B5"/>
    <w:rsid w:val="00EE5C49"/>
    <w:rsid w:val="00EE5E68"/>
    <w:rsid w:val="00EE68FA"/>
    <w:rsid w:val="00EE6FA5"/>
    <w:rsid w:val="00EE772D"/>
    <w:rsid w:val="00EE7A2A"/>
    <w:rsid w:val="00EF0702"/>
    <w:rsid w:val="00EF1A60"/>
    <w:rsid w:val="00EF2F01"/>
    <w:rsid w:val="00EF333D"/>
    <w:rsid w:val="00EF37D3"/>
    <w:rsid w:val="00EF4F97"/>
    <w:rsid w:val="00EF62EE"/>
    <w:rsid w:val="00F00102"/>
    <w:rsid w:val="00F00AB3"/>
    <w:rsid w:val="00F00DCD"/>
    <w:rsid w:val="00F01E8C"/>
    <w:rsid w:val="00F05B4E"/>
    <w:rsid w:val="00F05FAD"/>
    <w:rsid w:val="00F067CC"/>
    <w:rsid w:val="00F06DE5"/>
    <w:rsid w:val="00F07C5E"/>
    <w:rsid w:val="00F07D3D"/>
    <w:rsid w:val="00F108C8"/>
    <w:rsid w:val="00F12F1D"/>
    <w:rsid w:val="00F133D6"/>
    <w:rsid w:val="00F13E28"/>
    <w:rsid w:val="00F14180"/>
    <w:rsid w:val="00F1763F"/>
    <w:rsid w:val="00F20553"/>
    <w:rsid w:val="00F227E0"/>
    <w:rsid w:val="00F23E0E"/>
    <w:rsid w:val="00F26297"/>
    <w:rsid w:val="00F274A9"/>
    <w:rsid w:val="00F274D6"/>
    <w:rsid w:val="00F275A4"/>
    <w:rsid w:val="00F27645"/>
    <w:rsid w:val="00F27B89"/>
    <w:rsid w:val="00F3116E"/>
    <w:rsid w:val="00F31EC1"/>
    <w:rsid w:val="00F32213"/>
    <w:rsid w:val="00F3275E"/>
    <w:rsid w:val="00F32931"/>
    <w:rsid w:val="00F35008"/>
    <w:rsid w:val="00F3540A"/>
    <w:rsid w:val="00F3582B"/>
    <w:rsid w:val="00F361A2"/>
    <w:rsid w:val="00F36902"/>
    <w:rsid w:val="00F4024F"/>
    <w:rsid w:val="00F40BCB"/>
    <w:rsid w:val="00F416E7"/>
    <w:rsid w:val="00F4177E"/>
    <w:rsid w:val="00F41FD4"/>
    <w:rsid w:val="00F42A1A"/>
    <w:rsid w:val="00F42B63"/>
    <w:rsid w:val="00F43232"/>
    <w:rsid w:val="00F4378A"/>
    <w:rsid w:val="00F477C7"/>
    <w:rsid w:val="00F50320"/>
    <w:rsid w:val="00F505EC"/>
    <w:rsid w:val="00F55A41"/>
    <w:rsid w:val="00F572B9"/>
    <w:rsid w:val="00F574D5"/>
    <w:rsid w:val="00F57673"/>
    <w:rsid w:val="00F57A74"/>
    <w:rsid w:val="00F6162E"/>
    <w:rsid w:val="00F620DA"/>
    <w:rsid w:val="00F62B54"/>
    <w:rsid w:val="00F62BEA"/>
    <w:rsid w:val="00F62C3A"/>
    <w:rsid w:val="00F641F3"/>
    <w:rsid w:val="00F64D80"/>
    <w:rsid w:val="00F64FDB"/>
    <w:rsid w:val="00F655D9"/>
    <w:rsid w:val="00F65821"/>
    <w:rsid w:val="00F6627B"/>
    <w:rsid w:val="00F673DB"/>
    <w:rsid w:val="00F67D1B"/>
    <w:rsid w:val="00F702B8"/>
    <w:rsid w:val="00F7068C"/>
    <w:rsid w:val="00F72153"/>
    <w:rsid w:val="00F726DC"/>
    <w:rsid w:val="00F729EF"/>
    <w:rsid w:val="00F72D8B"/>
    <w:rsid w:val="00F73518"/>
    <w:rsid w:val="00F741AD"/>
    <w:rsid w:val="00F7498F"/>
    <w:rsid w:val="00F75E80"/>
    <w:rsid w:val="00F75F1F"/>
    <w:rsid w:val="00F7644D"/>
    <w:rsid w:val="00F81114"/>
    <w:rsid w:val="00F81313"/>
    <w:rsid w:val="00F81443"/>
    <w:rsid w:val="00F820E4"/>
    <w:rsid w:val="00F842DC"/>
    <w:rsid w:val="00F86769"/>
    <w:rsid w:val="00F87D3D"/>
    <w:rsid w:val="00F87E38"/>
    <w:rsid w:val="00F90091"/>
    <w:rsid w:val="00F911A7"/>
    <w:rsid w:val="00F94114"/>
    <w:rsid w:val="00F941A1"/>
    <w:rsid w:val="00F94308"/>
    <w:rsid w:val="00F95450"/>
    <w:rsid w:val="00F95E5A"/>
    <w:rsid w:val="00F96308"/>
    <w:rsid w:val="00FA567E"/>
    <w:rsid w:val="00FA75D4"/>
    <w:rsid w:val="00FA7D36"/>
    <w:rsid w:val="00FB0CC9"/>
    <w:rsid w:val="00FB198E"/>
    <w:rsid w:val="00FB384B"/>
    <w:rsid w:val="00FB3BFA"/>
    <w:rsid w:val="00FB4198"/>
    <w:rsid w:val="00FB49E7"/>
    <w:rsid w:val="00FB581A"/>
    <w:rsid w:val="00FB65C3"/>
    <w:rsid w:val="00FB7852"/>
    <w:rsid w:val="00FC0CA5"/>
    <w:rsid w:val="00FC136D"/>
    <w:rsid w:val="00FC148E"/>
    <w:rsid w:val="00FC156B"/>
    <w:rsid w:val="00FC1F2A"/>
    <w:rsid w:val="00FC2134"/>
    <w:rsid w:val="00FC3A1A"/>
    <w:rsid w:val="00FC3E53"/>
    <w:rsid w:val="00FC3FA4"/>
    <w:rsid w:val="00FC5408"/>
    <w:rsid w:val="00FC57AE"/>
    <w:rsid w:val="00FC70A3"/>
    <w:rsid w:val="00FD0E59"/>
    <w:rsid w:val="00FD28D1"/>
    <w:rsid w:val="00FD2AD1"/>
    <w:rsid w:val="00FD3068"/>
    <w:rsid w:val="00FD4852"/>
    <w:rsid w:val="00FD543B"/>
    <w:rsid w:val="00FD61A3"/>
    <w:rsid w:val="00FD6B2A"/>
    <w:rsid w:val="00FD6EFE"/>
    <w:rsid w:val="00FE0B3D"/>
    <w:rsid w:val="00FE0F8B"/>
    <w:rsid w:val="00FE1506"/>
    <w:rsid w:val="00FE156B"/>
    <w:rsid w:val="00FE1DCA"/>
    <w:rsid w:val="00FE2B55"/>
    <w:rsid w:val="00FE526A"/>
    <w:rsid w:val="00FE5280"/>
    <w:rsid w:val="00FE5899"/>
    <w:rsid w:val="00FE5BE5"/>
    <w:rsid w:val="00FE6313"/>
    <w:rsid w:val="00FE6364"/>
    <w:rsid w:val="00FE7138"/>
    <w:rsid w:val="00FE76A1"/>
    <w:rsid w:val="00FF03FA"/>
    <w:rsid w:val="00FF0999"/>
    <w:rsid w:val="00FF0B22"/>
    <w:rsid w:val="00FF0F14"/>
    <w:rsid w:val="00FF1249"/>
    <w:rsid w:val="00FF1D65"/>
    <w:rsid w:val="00FF3A0C"/>
    <w:rsid w:val="00FF41F5"/>
    <w:rsid w:val="00FF6D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colormru v:ext="edit" colors="#06c"/>
      <o:colormenu v:ext="edit" fillcolor="none"/>
    </o:shapedefaults>
    <o:shapelayout v:ext="edit">
      <o:idmap v:ext="edit" data="1"/>
    </o:shapelayout>
  </w:shapeDefaults>
  <w:decimalSymbol w:val=","/>
  <w:listSeparator w:val=";"/>
  <w14:docId w14:val="3BCB6A08"/>
  <w15:docId w15:val="{8D8D09D5-8F8E-487D-B4C7-BFDF0095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09D"/>
    <w:rPr>
      <w:sz w:val="24"/>
      <w:szCs w:val="24"/>
      <w:lang w:val="es-ES" w:eastAsia="es-ES"/>
    </w:rPr>
  </w:style>
  <w:style w:type="paragraph" w:styleId="Ttulo1">
    <w:name w:val="heading 1"/>
    <w:basedOn w:val="Normal"/>
    <w:next w:val="Normal"/>
    <w:link w:val="Ttulo1Car"/>
    <w:qFormat/>
    <w:rsid w:val="00696972"/>
    <w:pPr>
      <w:keepNext/>
      <w:numPr>
        <w:numId w:val="25"/>
      </w:numPr>
      <w:suppressAutoHyphens/>
      <w:outlineLvl w:val="0"/>
    </w:pPr>
    <w:rPr>
      <w:rFonts w:ascii="Calibri" w:hAnsi="Calibri" w:cs="Arial"/>
      <w:b/>
      <w:bCs/>
      <w:color w:val="595959" w:themeColor="text1" w:themeTint="A6"/>
      <w:kern w:val="32"/>
      <w:sz w:val="28"/>
      <w:szCs w:val="28"/>
    </w:rPr>
  </w:style>
  <w:style w:type="paragraph" w:styleId="Ttulo2">
    <w:name w:val="heading 2"/>
    <w:basedOn w:val="Normal"/>
    <w:next w:val="Normal"/>
    <w:qFormat/>
    <w:rsid w:val="00371929"/>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semiHidden/>
    <w:unhideWhenUsed/>
    <w:qFormat/>
    <w:rsid w:val="002B047D"/>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C0703"/>
    <w:pPr>
      <w:tabs>
        <w:tab w:val="center" w:pos="4252"/>
        <w:tab w:val="right" w:pos="8504"/>
      </w:tabs>
    </w:pPr>
  </w:style>
  <w:style w:type="paragraph" w:styleId="Piedepgina">
    <w:name w:val="footer"/>
    <w:basedOn w:val="Normal"/>
    <w:link w:val="PiedepginaCar"/>
    <w:uiPriority w:val="99"/>
    <w:rsid w:val="00EC0703"/>
    <w:pPr>
      <w:tabs>
        <w:tab w:val="center" w:pos="4252"/>
        <w:tab w:val="right" w:pos="8504"/>
      </w:tabs>
    </w:pPr>
  </w:style>
  <w:style w:type="paragraph" w:styleId="Textonotapie">
    <w:name w:val="footnote text"/>
    <w:basedOn w:val="Normal"/>
    <w:link w:val="TextonotapieCar"/>
    <w:semiHidden/>
    <w:rsid w:val="00281CE8"/>
    <w:rPr>
      <w:sz w:val="20"/>
      <w:szCs w:val="20"/>
    </w:rPr>
  </w:style>
  <w:style w:type="character" w:styleId="Refdenotaalpie">
    <w:name w:val="footnote reference"/>
    <w:semiHidden/>
    <w:rsid w:val="00281CE8"/>
    <w:rPr>
      <w:vertAlign w:val="superscript"/>
    </w:rPr>
  </w:style>
  <w:style w:type="character" w:styleId="Nmerodepgina">
    <w:name w:val="page number"/>
    <w:basedOn w:val="Fuentedeprrafopredeter"/>
    <w:rsid w:val="006A33AF"/>
  </w:style>
  <w:style w:type="paragraph" w:styleId="Textodeglobo">
    <w:name w:val="Balloon Text"/>
    <w:basedOn w:val="Normal"/>
    <w:semiHidden/>
    <w:rsid w:val="006A33AF"/>
    <w:rPr>
      <w:rFonts w:ascii="Tahoma" w:hAnsi="Tahoma" w:cs="Tahoma"/>
      <w:sz w:val="16"/>
      <w:szCs w:val="16"/>
    </w:rPr>
  </w:style>
  <w:style w:type="character" w:customStyle="1" w:styleId="Ttulo1Car">
    <w:name w:val="Título 1 Car"/>
    <w:link w:val="Ttulo1"/>
    <w:rsid w:val="00696972"/>
    <w:rPr>
      <w:rFonts w:ascii="Calibri" w:hAnsi="Calibri" w:cs="Arial"/>
      <w:b/>
      <w:bCs/>
      <w:color w:val="595959" w:themeColor="text1" w:themeTint="A6"/>
      <w:kern w:val="32"/>
      <w:sz w:val="28"/>
      <w:szCs w:val="28"/>
      <w:lang w:val="es-ES" w:eastAsia="es-ES"/>
    </w:rPr>
  </w:style>
  <w:style w:type="paragraph" w:styleId="TDC1">
    <w:name w:val="toc 1"/>
    <w:basedOn w:val="TtuloTDC"/>
    <w:next w:val="Normal"/>
    <w:link w:val="TDC1Car"/>
    <w:autoRedefine/>
    <w:uiPriority w:val="39"/>
    <w:qFormat/>
    <w:rsid w:val="00436337"/>
    <w:pPr>
      <w:tabs>
        <w:tab w:val="right" w:pos="480"/>
        <w:tab w:val="left" w:pos="960"/>
        <w:tab w:val="right" w:leader="dot" w:pos="8789"/>
      </w:tabs>
      <w:spacing w:before="120"/>
      <w:ind w:left="360"/>
    </w:pPr>
    <w:rPr>
      <w:rFonts w:ascii="Calibri" w:hAnsi="Calibri"/>
      <w:bCs w:val="0"/>
      <w:iCs/>
      <w:noProof/>
      <w:color w:val="595959" w:themeColor="text1" w:themeTint="A6"/>
      <w:sz w:val="32"/>
    </w:rPr>
  </w:style>
  <w:style w:type="paragraph" w:styleId="TDC2">
    <w:name w:val="toc 2"/>
    <w:basedOn w:val="Titulo11"/>
    <w:next w:val="Normal"/>
    <w:autoRedefine/>
    <w:uiPriority w:val="39"/>
    <w:qFormat/>
    <w:rsid w:val="0025674A"/>
    <w:pPr>
      <w:keepNext w:val="0"/>
      <w:tabs>
        <w:tab w:val="right" w:leader="underscore" w:pos="8828"/>
      </w:tabs>
      <w:suppressAutoHyphens w:val="0"/>
      <w:spacing w:before="120" w:line="480" w:lineRule="auto"/>
      <w:ind w:left="238"/>
      <w:outlineLvl w:val="9"/>
    </w:pPr>
    <w:rPr>
      <w:rFonts w:cs="Times New Roman"/>
      <w:kern w:val="0"/>
      <w:szCs w:val="22"/>
    </w:rPr>
  </w:style>
  <w:style w:type="paragraph" w:styleId="TDC3">
    <w:name w:val="toc 3"/>
    <w:basedOn w:val="Titulo111"/>
    <w:next w:val="Normal"/>
    <w:autoRedefine/>
    <w:uiPriority w:val="39"/>
    <w:qFormat/>
    <w:rsid w:val="0025674A"/>
    <w:pPr>
      <w:tabs>
        <w:tab w:val="right" w:pos="284"/>
        <w:tab w:val="right" w:leader="dot" w:pos="8789"/>
      </w:tabs>
      <w:spacing w:before="120"/>
      <w:outlineLvl w:val="2"/>
    </w:pPr>
    <w:rPr>
      <w:sz w:val="26"/>
      <w:szCs w:val="20"/>
    </w:rPr>
  </w:style>
  <w:style w:type="paragraph" w:styleId="TDC4">
    <w:name w:val="toc 4"/>
    <w:basedOn w:val="Normal"/>
    <w:next w:val="Normal"/>
    <w:autoRedefine/>
    <w:semiHidden/>
    <w:rsid w:val="00371929"/>
    <w:pPr>
      <w:ind w:left="720"/>
    </w:pPr>
    <w:rPr>
      <w:sz w:val="20"/>
      <w:szCs w:val="20"/>
    </w:rPr>
  </w:style>
  <w:style w:type="paragraph" w:styleId="TDC5">
    <w:name w:val="toc 5"/>
    <w:basedOn w:val="Normal"/>
    <w:next w:val="Normal"/>
    <w:autoRedefine/>
    <w:semiHidden/>
    <w:rsid w:val="00371929"/>
    <w:pPr>
      <w:ind w:left="960"/>
    </w:pPr>
    <w:rPr>
      <w:sz w:val="20"/>
      <w:szCs w:val="20"/>
    </w:rPr>
  </w:style>
  <w:style w:type="paragraph" w:styleId="TDC6">
    <w:name w:val="toc 6"/>
    <w:basedOn w:val="Normal"/>
    <w:next w:val="Normal"/>
    <w:autoRedefine/>
    <w:semiHidden/>
    <w:rsid w:val="00371929"/>
    <w:pPr>
      <w:ind w:left="1200"/>
    </w:pPr>
    <w:rPr>
      <w:sz w:val="20"/>
      <w:szCs w:val="20"/>
    </w:rPr>
  </w:style>
  <w:style w:type="paragraph" w:styleId="TDC7">
    <w:name w:val="toc 7"/>
    <w:basedOn w:val="Normal"/>
    <w:next w:val="Normal"/>
    <w:autoRedefine/>
    <w:semiHidden/>
    <w:rsid w:val="00371929"/>
    <w:pPr>
      <w:ind w:left="1440"/>
    </w:pPr>
    <w:rPr>
      <w:sz w:val="20"/>
      <w:szCs w:val="20"/>
    </w:rPr>
  </w:style>
  <w:style w:type="paragraph" w:styleId="TDC8">
    <w:name w:val="toc 8"/>
    <w:basedOn w:val="Normal"/>
    <w:next w:val="Normal"/>
    <w:autoRedefine/>
    <w:semiHidden/>
    <w:rsid w:val="00371929"/>
    <w:pPr>
      <w:ind w:left="1680"/>
    </w:pPr>
    <w:rPr>
      <w:sz w:val="20"/>
      <w:szCs w:val="20"/>
    </w:rPr>
  </w:style>
  <w:style w:type="paragraph" w:styleId="TDC9">
    <w:name w:val="toc 9"/>
    <w:basedOn w:val="Normal"/>
    <w:next w:val="Normal"/>
    <w:autoRedefine/>
    <w:semiHidden/>
    <w:rsid w:val="00371929"/>
    <w:pPr>
      <w:ind w:left="1920"/>
    </w:pPr>
    <w:rPr>
      <w:sz w:val="20"/>
      <w:szCs w:val="20"/>
    </w:rPr>
  </w:style>
  <w:style w:type="character" w:styleId="Hipervnculo">
    <w:name w:val="Hyperlink"/>
    <w:uiPriority w:val="99"/>
    <w:rsid w:val="00371929"/>
    <w:rPr>
      <w:color w:val="0000FF"/>
      <w:u w:val="single"/>
    </w:rPr>
  </w:style>
  <w:style w:type="character" w:customStyle="1" w:styleId="PiedepginaCar">
    <w:name w:val="Pie de página Car"/>
    <w:link w:val="Piedepgina"/>
    <w:uiPriority w:val="99"/>
    <w:rsid w:val="00460E04"/>
    <w:rPr>
      <w:sz w:val="24"/>
      <w:szCs w:val="24"/>
      <w:lang w:val="es-ES" w:eastAsia="es-ES"/>
    </w:rPr>
  </w:style>
  <w:style w:type="character" w:customStyle="1" w:styleId="EncabezadoCar">
    <w:name w:val="Encabezado Car"/>
    <w:link w:val="Encabezado"/>
    <w:uiPriority w:val="99"/>
    <w:rsid w:val="00763342"/>
    <w:rPr>
      <w:sz w:val="24"/>
      <w:szCs w:val="24"/>
      <w:lang w:val="es-ES" w:eastAsia="es-ES"/>
    </w:rPr>
  </w:style>
  <w:style w:type="paragraph" w:styleId="Prrafodelista">
    <w:name w:val="List Paragraph"/>
    <w:basedOn w:val="Normal"/>
    <w:uiPriority w:val="34"/>
    <w:qFormat/>
    <w:rsid w:val="007B6CDB"/>
    <w:pPr>
      <w:ind w:left="720"/>
      <w:contextualSpacing/>
    </w:pPr>
  </w:style>
  <w:style w:type="paragraph" w:styleId="Sinespaciado">
    <w:name w:val="No Spacing"/>
    <w:link w:val="SinespaciadoCar"/>
    <w:uiPriority w:val="1"/>
    <w:qFormat/>
    <w:rsid w:val="00B12D09"/>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B12D09"/>
    <w:rPr>
      <w:rFonts w:asciiTheme="minorHAnsi" w:eastAsiaTheme="minorEastAsia" w:hAnsiTheme="minorHAnsi" w:cstheme="minorBidi"/>
      <w:sz w:val="22"/>
      <w:szCs w:val="22"/>
    </w:rPr>
  </w:style>
  <w:style w:type="paragraph" w:styleId="ndice1">
    <w:name w:val="index 1"/>
    <w:basedOn w:val="Normal"/>
    <w:next w:val="Normal"/>
    <w:autoRedefine/>
    <w:uiPriority w:val="99"/>
    <w:rsid w:val="00D03BFA"/>
    <w:pPr>
      <w:tabs>
        <w:tab w:val="right" w:leader="dot" w:pos="8637"/>
      </w:tabs>
      <w:ind w:left="240" w:hanging="240"/>
    </w:pPr>
    <w:rPr>
      <w:rFonts w:asciiTheme="minorHAnsi" w:hAnsiTheme="minorHAnsi" w:cs="Arial"/>
      <w:b/>
      <w:bCs/>
      <w:noProof/>
      <w:color w:val="595959"/>
      <w:kern w:val="32"/>
      <w:sz w:val="28"/>
    </w:rPr>
  </w:style>
  <w:style w:type="paragraph" w:customStyle="1" w:styleId="Titulo11">
    <w:name w:val="Titulo11"/>
    <w:basedOn w:val="Ttulo1"/>
    <w:next w:val="Normal"/>
    <w:autoRedefine/>
    <w:qFormat/>
    <w:rsid w:val="00D03BFA"/>
    <w:pPr>
      <w:numPr>
        <w:numId w:val="0"/>
      </w:numPr>
      <w:ind w:left="284"/>
    </w:pPr>
  </w:style>
  <w:style w:type="paragraph" w:customStyle="1" w:styleId="Titulo111">
    <w:name w:val="Titulo111"/>
    <w:basedOn w:val="Ttulo1"/>
    <w:next w:val="Normal"/>
    <w:qFormat/>
    <w:rsid w:val="0053209D"/>
    <w:pPr>
      <w:numPr>
        <w:numId w:val="0"/>
      </w:numPr>
      <w:ind w:left="567"/>
    </w:pPr>
    <w:rPr>
      <w:bCs w:val="0"/>
      <w:color w:val="595959"/>
    </w:rPr>
  </w:style>
  <w:style w:type="paragraph" w:customStyle="1" w:styleId="Estiloindice">
    <w:name w:val="Estiloindice"/>
    <w:basedOn w:val="TDC1"/>
    <w:link w:val="EstiloindiceCar"/>
    <w:qFormat/>
    <w:rsid w:val="00590BFD"/>
    <w:pPr>
      <w:tabs>
        <w:tab w:val="left" w:leader="dot" w:pos="480"/>
      </w:tabs>
    </w:pPr>
  </w:style>
  <w:style w:type="character" w:customStyle="1" w:styleId="Ttulo3Car">
    <w:name w:val="Título 3 Car"/>
    <w:basedOn w:val="Fuentedeprrafopredeter"/>
    <w:link w:val="Ttulo3"/>
    <w:semiHidden/>
    <w:rsid w:val="002B047D"/>
    <w:rPr>
      <w:rFonts w:asciiTheme="majorHAnsi" w:eastAsiaTheme="majorEastAsia" w:hAnsiTheme="majorHAnsi" w:cstheme="majorBidi"/>
      <w:b/>
      <w:bCs/>
      <w:color w:val="4F81BD" w:themeColor="accent1"/>
      <w:sz w:val="24"/>
      <w:szCs w:val="24"/>
      <w:lang w:val="es-ES" w:eastAsia="es-ES"/>
    </w:rPr>
  </w:style>
  <w:style w:type="character" w:customStyle="1" w:styleId="TDC1Car">
    <w:name w:val="TDC 1 Car"/>
    <w:basedOn w:val="Fuentedeprrafopredeter"/>
    <w:link w:val="TDC1"/>
    <w:uiPriority w:val="39"/>
    <w:rsid w:val="00436337"/>
    <w:rPr>
      <w:rFonts w:ascii="Calibri" w:eastAsiaTheme="majorEastAsia" w:hAnsi="Calibri" w:cstheme="majorBidi"/>
      <w:b/>
      <w:iCs/>
      <w:noProof/>
      <w:color w:val="595959" w:themeColor="text1" w:themeTint="A6"/>
      <w:sz w:val="32"/>
      <w:szCs w:val="28"/>
      <w:lang w:val="es-ES" w:eastAsia="es-ES"/>
    </w:rPr>
  </w:style>
  <w:style w:type="character" w:customStyle="1" w:styleId="EstiloindiceCar">
    <w:name w:val="Estiloindice Car"/>
    <w:basedOn w:val="TDC1Car"/>
    <w:link w:val="Estiloindice"/>
    <w:rsid w:val="00590BFD"/>
    <w:rPr>
      <w:rFonts w:ascii="Calibri" w:eastAsiaTheme="majorEastAsia" w:hAnsi="Calibri" w:cs="Arial"/>
      <w:b/>
      <w:iCs/>
      <w:noProof/>
      <w:color w:val="595959" w:themeColor="text1" w:themeTint="A6"/>
      <w:kern w:val="32"/>
      <w:sz w:val="28"/>
      <w:szCs w:val="28"/>
      <w:lang w:val="es-ES" w:eastAsia="es-ES"/>
    </w:rPr>
  </w:style>
  <w:style w:type="table" w:styleId="Tablaconcuadrcula">
    <w:name w:val="Table Grid"/>
    <w:basedOn w:val="Tablanormal"/>
    <w:rsid w:val="00670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6A5035"/>
    <w:pPr>
      <w:keepLines/>
      <w:numPr>
        <w:numId w:val="0"/>
      </w:numPr>
      <w:suppressAutoHyphens w:val="0"/>
      <w:spacing w:before="480"/>
      <w:outlineLvl w:val="9"/>
    </w:pPr>
    <w:rPr>
      <w:rFonts w:asciiTheme="majorHAnsi" w:eastAsiaTheme="majorEastAsia" w:hAnsiTheme="majorHAnsi" w:cstheme="majorBidi"/>
      <w:color w:val="365F91" w:themeColor="accent1" w:themeShade="BF"/>
      <w:kern w:val="0"/>
    </w:rPr>
  </w:style>
  <w:style w:type="paragraph" w:styleId="Ttulo">
    <w:name w:val="Title"/>
    <w:basedOn w:val="Normal"/>
    <w:next w:val="Normal"/>
    <w:link w:val="TtuloCar"/>
    <w:qFormat/>
    <w:rsid w:val="006C1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6C1F58"/>
    <w:rPr>
      <w:rFonts w:asciiTheme="majorHAnsi" w:eastAsiaTheme="majorEastAsia" w:hAnsiTheme="majorHAnsi" w:cstheme="majorBidi"/>
      <w:color w:val="17365D" w:themeColor="text2" w:themeShade="BF"/>
      <w:spacing w:val="5"/>
      <w:kern w:val="28"/>
      <w:sz w:val="52"/>
      <w:szCs w:val="52"/>
      <w:lang w:val="es-ES" w:eastAsia="es-ES"/>
    </w:rPr>
  </w:style>
  <w:style w:type="paragraph" w:styleId="Subttulo">
    <w:name w:val="Subtitle"/>
    <w:basedOn w:val="Normal"/>
    <w:next w:val="Normal"/>
    <w:link w:val="SubttuloCar"/>
    <w:qFormat/>
    <w:rsid w:val="006C1F58"/>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6C1F58"/>
    <w:rPr>
      <w:rFonts w:asciiTheme="majorHAnsi" w:eastAsiaTheme="majorEastAsia" w:hAnsiTheme="majorHAnsi" w:cstheme="majorBidi"/>
      <w:i/>
      <w:iCs/>
      <w:color w:val="4F81BD" w:themeColor="accent1"/>
      <w:spacing w:val="15"/>
      <w:sz w:val="24"/>
      <w:szCs w:val="24"/>
      <w:lang w:val="es-ES" w:eastAsia="es-ES"/>
    </w:rPr>
  </w:style>
  <w:style w:type="character" w:customStyle="1" w:styleId="TextonotapieCar">
    <w:name w:val="Texto nota pie Car"/>
    <w:basedOn w:val="Fuentedeprrafopredeter"/>
    <w:link w:val="Textonotapie"/>
    <w:semiHidden/>
    <w:rsid w:val="00480BFC"/>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795">
      <w:bodyDiv w:val="1"/>
      <w:marLeft w:val="0"/>
      <w:marRight w:val="0"/>
      <w:marTop w:val="0"/>
      <w:marBottom w:val="0"/>
      <w:divBdr>
        <w:top w:val="none" w:sz="0" w:space="0" w:color="auto"/>
        <w:left w:val="none" w:sz="0" w:space="0" w:color="auto"/>
        <w:bottom w:val="none" w:sz="0" w:space="0" w:color="auto"/>
        <w:right w:val="none" w:sz="0" w:space="0" w:color="auto"/>
      </w:divBdr>
    </w:div>
    <w:div w:id="76097319">
      <w:bodyDiv w:val="1"/>
      <w:marLeft w:val="0"/>
      <w:marRight w:val="0"/>
      <w:marTop w:val="0"/>
      <w:marBottom w:val="0"/>
      <w:divBdr>
        <w:top w:val="none" w:sz="0" w:space="0" w:color="auto"/>
        <w:left w:val="none" w:sz="0" w:space="0" w:color="auto"/>
        <w:bottom w:val="none" w:sz="0" w:space="0" w:color="auto"/>
        <w:right w:val="none" w:sz="0" w:space="0" w:color="auto"/>
      </w:divBdr>
    </w:div>
    <w:div w:id="94446326">
      <w:bodyDiv w:val="1"/>
      <w:marLeft w:val="0"/>
      <w:marRight w:val="0"/>
      <w:marTop w:val="0"/>
      <w:marBottom w:val="0"/>
      <w:divBdr>
        <w:top w:val="none" w:sz="0" w:space="0" w:color="auto"/>
        <w:left w:val="none" w:sz="0" w:space="0" w:color="auto"/>
        <w:bottom w:val="none" w:sz="0" w:space="0" w:color="auto"/>
        <w:right w:val="none" w:sz="0" w:space="0" w:color="auto"/>
      </w:divBdr>
    </w:div>
    <w:div w:id="94642177">
      <w:bodyDiv w:val="1"/>
      <w:marLeft w:val="0"/>
      <w:marRight w:val="0"/>
      <w:marTop w:val="0"/>
      <w:marBottom w:val="0"/>
      <w:divBdr>
        <w:top w:val="none" w:sz="0" w:space="0" w:color="auto"/>
        <w:left w:val="none" w:sz="0" w:space="0" w:color="auto"/>
        <w:bottom w:val="none" w:sz="0" w:space="0" w:color="auto"/>
        <w:right w:val="none" w:sz="0" w:space="0" w:color="auto"/>
      </w:divBdr>
    </w:div>
    <w:div w:id="165444118">
      <w:bodyDiv w:val="1"/>
      <w:marLeft w:val="0"/>
      <w:marRight w:val="0"/>
      <w:marTop w:val="0"/>
      <w:marBottom w:val="0"/>
      <w:divBdr>
        <w:top w:val="none" w:sz="0" w:space="0" w:color="auto"/>
        <w:left w:val="none" w:sz="0" w:space="0" w:color="auto"/>
        <w:bottom w:val="none" w:sz="0" w:space="0" w:color="auto"/>
        <w:right w:val="none" w:sz="0" w:space="0" w:color="auto"/>
      </w:divBdr>
    </w:div>
    <w:div w:id="169831660">
      <w:bodyDiv w:val="1"/>
      <w:marLeft w:val="0"/>
      <w:marRight w:val="0"/>
      <w:marTop w:val="0"/>
      <w:marBottom w:val="0"/>
      <w:divBdr>
        <w:top w:val="none" w:sz="0" w:space="0" w:color="auto"/>
        <w:left w:val="none" w:sz="0" w:space="0" w:color="auto"/>
        <w:bottom w:val="none" w:sz="0" w:space="0" w:color="auto"/>
        <w:right w:val="none" w:sz="0" w:space="0" w:color="auto"/>
      </w:divBdr>
    </w:div>
    <w:div w:id="200823768">
      <w:bodyDiv w:val="1"/>
      <w:marLeft w:val="0"/>
      <w:marRight w:val="0"/>
      <w:marTop w:val="0"/>
      <w:marBottom w:val="0"/>
      <w:divBdr>
        <w:top w:val="none" w:sz="0" w:space="0" w:color="auto"/>
        <w:left w:val="none" w:sz="0" w:space="0" w:color="auto"/>
        <w:bottom w:val="none" w:sz="0" w:space="0" w:color="auto"/>
        <w:right w:val="none" w:sz="0" w:space="0" w:color="auto"/>
      </w:divBdr>
    </w:div>
    <w:div w:id="212892766">
      <w:bodyDiv w:val="1"/>
      <w:marLeft w:val="0"/>
      <w:marRight w:val="0"/>
      <w:marTop w:val="0"/>
      <w:marBottom w:val="0"/>
      <w:divBdr>
        <w:top w:val="none" w:sz="0" w:space="0" w:color="auto"/>
        <w:left w:val="none" w:sz="0" w:space="0" w:color="auto"/>
        <w:bottom w:val="none" w:sz="0" w:space="0" w:color="auto"/>
        <w:right w:val="none" w:sz="0" w:space="0" w:color="auto"/>
      </w:divBdr>
    </w:div>
    <w:div w:id="232589705">
      <w:bodyDiv w:val="1"/>
      <w:marLeft w:val="0"/>
      <w:marRight w:val="0"/>
      <w:marTop w:val="0"/>
      <w:marBottom w:val="0"/>
      <w:divBdr>
        <w:top w:val="none" w:sz="0" w:space="0" w:color="auto"/>
        <w:left w:val="none" w:sz="0" w:space="0" w:color="auto"/>
        <w:bottom w:val="none" w:sz="0" w:space="0" w:color="auto"/>
        <w:right w:val="none" w:sz="0" w:space="0" w:color="auto"/>
      </w:divBdr>
    </w:div>
    <w:div w:id="243228583">
      <w:bodyDiv w:val="1"/>
      <w:marLeft w:val="0"/>
      <w:marRight w:val="0"/>
      <w:marTop w:val="0"/>
      <w:marBottom w:val="0"/>
      <w:divBdr>
        <w:top w:val="none" w:sz="0" w:space="0" w:color="auto"/>
        <w:left w:val="none" w:sz="0" w:space="0" w:color="auto"/>
        <w:bottom w:val="none" w:sz="0" w:space="0" w:color="auto"/>
        <w:right w:val="none" w:sz="0" w:space="0" w:color="auto"/>
      </w:divBdr>
    </w:div>
    <w:div w:id="247813035">
      <w:bodyDiv w:val="1"/>
      <w:marLeft w:val="0"/>
      <w:marRight w:val="0"/>
      <w:marTop w:val="0"/>
      <w:marBottom w:val="0"/>
      <w:divBdr>
        <w:top w:val="none" w:sz="0" w:space="0" w:color="auto"/>
        <w:left w:val="none" w:sz="0" w:space="0" w:color="auto"/>
        <w:bottom w:val="none" w:sz="0" w:space="0" w:color="auto"/>
        <w:right w:val="none" w:sz="0" w:space="0" w:color="auto"/>
      </w:divBdr>
    </w:div>
    <w:div w:id="258952747">
      <w:bodyDiv w:val="1"/>
      <w:marLeft w:val="0"/>
      <w:marRight w:val="0"/>
      <w:marTop w:val="0"/>
      <w:marBottom w:val="0"/>
      <w:divBdr>
        <w:top w:val="none" w:sz="0" w:space="0" w:color="auto"/>
        <w:left w:val="none" w:sz="0" w:space="0" w:color="auto"/>
        <w:bottom w:val="none" w:sz="0" w:space="0" w:color="auto"/>
        <w:right w:val="none" w:sz="0" w:space="0" w:color="auto"/>
      </w:divBdr>
    </w:div>
    <w:div w:id="269170916">
      <w:bodyDiv w:val="1"/>
      <w:marLeft w:val="0"/>
      <w:marRight w:val="0"/>
      <w:marTop w:val="0"/>
      <w:marBottom w:val="0"/>
      <w:divBdr>
        <w:top w:val="none" w:sz="0" w:space="0" w:color="auto"/>
        <w:left w:val="none" w:sz="0" w:space="0" w:color="auto"/>
        <w:bottom w:val="none" w:sz="0" w:space="0" w:color="auto"/>
        <w:right w:val="none" w:sz="0" w:space="0" w:color="auto"/>
      </w:divBdr>
    </w:div>
    <w:div w:id="301496761">
      <w:bodyDiv w:val="1"/>
      <w:marLeft w:val="0"/>
      <w:marRight w:val="0"/>
      <w:marTop w:val="0"/>
      <w:marBottom w:val="0"/>
      <w:divBdr>
        <w:top w:val="none" w:sz="0" w:space="0" w:color="auto"/>
        <w:left w:val="none" w:sz="0" w:space="0" w:color="auto"/>
        <w:bottom w:val="none" w:sz="0" w:space="0" w:color="auto"/>
        <w:right w:val="none" w:sz="0" w:space="0" w:color="auto"/>
      </w:divBdr>
    </w:div>
    <w:div w:id="306710866">
      <w:bodyDiv w:val="1"/>
      <w:marLeft w:val="0"/>
      <w:marRight w:val="0"/>
      <w:marTop w:val="0"/>
      <w:marBottom w:val="0"/>
      <w:divBdr>
        <w:top w:val="none" w:sz="0" w:space="0" w:color="auto"/>
        <w:left w:val="none" w:sz="0" w:space="0" w:color="auto"/>
        <w:bottom w:val="none" w:sz="0" w:space="0" w:color="auto"/>
        <w:right w:val="none" w:sz="0" w:space="0" w:color="auto"/>
      </w:divBdr>
    </w:div>
    <w:div w:id="316424386">
      <w:bodyDiv w:val="1"/>
      <w:marLeft w:val="0"/>
      <w:marRight w:val="0"/>
      <w:marTop w:val="0"/>
      <w:marBottom w:val="0"/>
      <w:divBdr>
        <w:top w:val="none" w:sz="0" w:space="0" w:color="auto"/>
        <w:left w:val="none" w:sz="0" w:space="0" w:color="auto"/>
        <w:bottom w:val="none" w:sz="0" w:space="0" w:color="auto"/>
        <w:right w:val="none" w:sz="0" w:space="0" w:color="auto"/>
      </w:divBdr>
    </w:div>
    <w:div w:id="332950492">
      <w:bodyDiv w:val="1"/>
      <w:marLeft w:val="0"/>
      <w:marRight w:val="0"/>
      <w:marTop w:val="0"/>
      <w:marBottom w:val="0"/>
      <w:divBdr>
        <w:top w:val="none" w:sz="0" w:space="0" w:color="auto"/>
        <w:left w:val="none" w:sz="0" w:space="0" w:color="auto"/>
        <w:bottom w:val="none" w:sz="0" w:space="0" w:color="auto"/>
        <w:right w:val="none" w:sz="0" w:space="0" w:color="auto"/>
      </w:divBdr>
    </w:div>
    <w:div w:id="333996573">
      <w:bodyDiv w:val="1"/>
      <w:marLeft w:val="0"/>
      <w:marRight w:val="0"/>
      <w:marTop w:val="0"/>
      <w:marBottom w:val="0"/>
      <w:divBdr>
        <w:top w:val="none" w:sz="0" w:space="0" w:color="auto"/>
        <w:left w:val="none" w:sz="0" w:space="0" w:color="auto"/>
        <w:bottom w:val="none" w:sz="0" w:space="0" w:color="auto"/>
        <w:right w:val="none" w:sz="0" w:space="0" w:color="auto"/>
      </w:divBdr>
    </w:div>
    <w:div w:id="387531107">
      <w:bodyDiv w:val="1"/>
      <w:marLeft w:val="0"/>
      <w:marRight w:val="0"/>
      <w:marTop w:val="0"/>
      <w:marBottom w:val="0"/>
      <w:divBdr>
        <w:top w:val="none" w:sz="0" w:space="0" w:color="auto"/>
        <w:left w:val="none" w:sz="0" w:space="0" w:color="auto"/>
        <w:bottom w:val="none" w:sz="0" w:space="0" w:color="auto"/>
        <w:right w:val="none" w:sz="0" w:space="0" w:color="auto"/>
      </w:divBdr>
    </w:div>
    <w:div w:id="397092504">
      <w:bodyDiv w:val="1"/>
      <w:marLeft w:val="0"/>
      <w:marRight w:val="0"/>
      <w:marTop w:val="0"/>
      <w:marBottom w:val="0"/>
      <w:divBdr>
        <w:top w:val="none" w:sz="0" w:space="0" w:color="auto"/>
        <w:left w:val="none" w:sz="0" w:space="0" w:color="auto"/>
        <w:bottom w:val="none" w:sz="0" w:space="0" w:color="auto"/>
        <w:right w:val="none" w:sz="0" w:space="0" w:color="auto"/>
      </w:divBdr>
    </w:div>
    <w:div w:id="408696607">
      <w:bodyDiv w:val="1"/>
      <w:marLeft w:val="0"/>
      <w:marRight w:val="0"/>
      <w:marTop w:val="0"/>
      <w:marBottom w:val="0"/>
      <w:divBdr>
        <w:top w:val="none" w:sz="0" w:space="0" w:color="auto"/>
        <w:left w:val="none" w:sz="0" w:space="0" w:color="auto"/>
        <w:bottom w:val="none" w:sz="0" w:space="0" w:color="auto"/>
        <w:right w:val="none" w:sz="0" w:space="0" w:color="auto"/>
      </w:divBdr>
    </w:div>
    <w:div w:id="410662174">
      <w:bodyDiv w:val="1"/>
      <w:marLeft w:val="0"/>
      <w:marRight w:val="0"/>
      <w:marTop w:val="0"/>
      <w:marBottom w:val="0"/>
      <w:divBdr>
        <w:top w:val="none" w:sz="0" w:space="0" w:color="auto"/>
        <w:left w:val="none" w:sz="0" w:space="0" w:color="auto"/>
        <w:bottom w:val="none" w:sz="0" w:space="0" w:color="auto"/>
        <w:right w:val="none" w:sz="0" w:space="0" w:color="auto"/>
      </w:divBdr>
    </w:div>
    <w:div w:id="426317897">
      <w:bodyDiv w:val="1"/>
      <w:marLeft w:val="0"/>
      <w:marRight w:val="0"/>
      <w:marTop w:val="0"/>
      <w:marBottom w:val="0"/>
      <w:divBdr>
        <w:top w:val="none" w:sz="0" w:space="0" w:color="auto"/>
        <w:left w:val="none" w:sz="0" w:space="0" w:color="auto"/>
        <w:bottom w:val="none" w:sz="0" w:space="0" w:color="auto"/>
        <w:right w:val="none" w:sz="0" w:space="0" w:color="auto"/>
      </w:divBdr>
    </w:div>
    <w:div w:id="452596785">
      <w:bodyDiv w:val="1"/>
      <w:marLeft w:val="0"/>
      <w:marRight w:val="0"/>
      <w:marTop w:val="0"/>
      <w:marBottom w:val="0"/>
      <w:divBdr>
        <w:top w:val="none" w:sz="0" w:space="0" w:color="auto"/>
        <w:left w:val="none" w:sz="0" w:space="0" w:color="auto"/>
        <w:bottom w:val="none" w:sz="0" w:space="0" w:color="auto"/>
        <w:right w:val="none" w:sz="0" w:space="0" w:color="auto"/>
      </w:divBdr>
    </w:div>
    <w:div w:id="539393085">
      <w:bodyDiv w:val="1"/>
      <w:marLeft w:val="0"/>
      <w:marRight w:val="0"/>
      <w:marTop w:val="0"/>
      <w:marBottom w:val="0"/>
      <w:divBdr>
        <w:top w:val="none" w:sz="0" w:space="0" w:color="auto"/>
        <w:left w:val="none" w:sz="0" w:space="0" w:color="auto"/>
        <w:bottom w:val="none" w:sz="0" w:space="0" w:color="auto"/>
        <w:right w:val="none" w:sz="0" w:space="0" w:color="auto"/>
      </w:divBdr>
    </w:div>
    <w:div w:id="604506732">
      <w:bodyDiv w:val="1"/>
      <w:marLeft w:val="0"/>
      <w:marRight w:val="0"/>
      <w:marTop w:val="0"/>
      <w:marBottom w:val="0"/>
      <w:divBdr>
        <w:top w:val="none" w:sz="0" w:space="0" w:color="auto"/>
        <w:left w:val="none" w:sz="0" w:space="0" w:color="auto"/>
        <w:bottom w:val="none" w:sz="0" w:space="0" w:color="auto"/>
        <w:right w:val="none" w:sz="0" w:space="0" w:color="auto"/>
      </w:divBdr>
    </w:div>
    <w:div w:id="670528771">
      <w:bodyDiv w:val="1"/>
      <w:marLeft w:val="0"/>
      <w:marRight w:val="0"/>
      <w:marTop w:val="0"/>
      <w:marBottom w:val="0"/>
      <w:divBdr>
        <w:top w:val="none" w:sz="0" w:space="0" w:color="auto"/>
        <w:left w:val="none" w:sz="0" w:space="0" w:color="auto"/>
        <w:bottom w:val="none" w:sz="0" w:space="0" w:color="auto"/>
        <w:right w:val="none" w:sz="0" w:space="0" w:color="auto"/>
      </w:divBdr>
    </w:div>
    <w:div w:id="681709188">
      <w:bodyDiv w:val="1"/>
      <w:marLeft w:val="0"/>
      <w:marRight w:val="0"/>
      <w:marTop w:val="0"/>
      <w:marBottom w:val="0"/>
      <w:divBdr>
        <w:top w:val="none" w:sz="0" w:space="0" w:color="auto"/>
        <w:left w:val="none" w:sz="0" w:space="0" w:color="auto"/>
        <w:bottom w:val="none" w:sz="0" w:space="0" w:color="auto"/>
        <w:right w:val="none" w:sz="0" w:space="0" w:color="auto"/>
      </w:divBdr>
    </w:div>
    <w:div w:id="736630481">
      <w:bodyDiv w:val="1"/>
      <w:marLeft w:val="0"/>
      <w:marRight w:val="0"/>
      <w:marTop w:val="0"/>
      <w:marBottom w:val="0"/>
      <w:divBdr>
        <w:top w:val="none" w:sz="0" w:space="0" w:color="auto"/>
        <w:left w:val="none" w:sz="0" w:space="0" w:color="auto"/>
        <w:bottom w:val="none" w:sz="0" w:space="0" w:color="auto"/>
        <w:right w:val="none" w:sz="0" w:space="0" w:color="auto"/>
      </w:divBdr>
    </w:div>
    <w:div w:id="751514514">
      <w:bodyDiv w:val="1"/>
      <w:marLeft w:val="0"/>
      <w:marRight w:val="0"/>
      <w:marTop w:val="0"/>
      <w:marBottom w:val="0"/>
      <w:divBdr>
        <w:top w:val="none" w:sz="0" w:space="0" w:color="auto"/>
        <w:left w:val="none" w:sz="0" w:space="0" w:color="auto"/>
        <w:bottom w:val="none" w:sz="0" w:space="0" w:color="auto"/>
        <w:right w:val="none" w:sz="0" w:space="0" w:color="auto"/>
      </w:divBdr>
    </w:div>
    <w:div w:id="755135442">
      <w:bodyDiv w:val="1"/>
      <w:marLeft w:val="0"/>
      <w:marRight w:val="0"/>
      <w:marTop w:val="0"/>
      <w:marBottom w:val="0"/>
      <w:divBdr>
        <w:top w:val="none" w:sz="0" w:space="0" w:color="auto"/>
        <w:left w:val="none" w:sz="0" w:space="0" w:color="auto"/>
        <w:bottom w:val="none" w:sz="0" w:space="0" w:color="auto"/>
        <w:right w:val="none" w:sz="0" w:space="0" w:color="auto"/>
      </w:divBdr>
    </w:div>
    <w:div w:id="793716018">
      <w:bodyDiv w:val="1"/>
      <w:marLeft w:val="0"/>
      <w:marRight w:val="0"/>
      <w:marTop w:val="0"/>
      <w:marBottom w:val="0"/>
      <w:divBdr>
        <w:top w:val="none" w:sz="0" w:space="0" w:color="auto"/>
        <w:left w:val="none" w:sz="0" w:space="0" w:color="auto"/>
        <w:bottom w:val="none" w:sz="0" w:space="0" w:color="auto"/>
        <w:right w:val="none" w:sz="0" w:space="0" w:color="auto"/>
      </w:divBdr>
    </w:div>
    <w:div w:id="804196087">
      <w:bodyDiv w:val="1"/>
      <w:marLeft w:val="0"/>
      <w:marRight w:val="0"/>
      <w:marTop w:val="0"/>
      <w:marBottom w:val="0"/>
      <w:divBdr>
        <w:top w:val="none" w:sz="0" w:space="0" w:color="auto"/>
        <w:left w:val="none" w:sz="0" w:space="0" w:color="auto"/>
        <w:bottom w:val="none" w:sz="0" w:space="0" w:color="auto"/>
        <w:right w:val="none" w:sz="0" w:space="0" w:color="auto"/>
      </w:divBdr>
    </w:div>
    <w:div w:id="829826896">
      <w:bodyDiv w:val="1"/>
      <w:marLeft w:val="0"/>
      <w:marRight w:val="0"/>
      <w:marTop w:val="0"/>
      <w:marBottom w:val="0"/>
      <w:divBdr>
        <w:top w:val="none" w:sz="0" w:space="0" w:color="auto"/>
        <w:left w:val="none" w:sz="0" w:space="0" w:color="auto"/>
        <w:bottom w:val="none" w:sz="0" w:space="0" w:color="auto"/>
        <w:right w:val="none" w:sz="0" w:space="0" w:color="auto"/>
      </w:divBdr>
    </w:div>
    <w:div w:id="845439623">
      <w:bodyDiv w:val="1"/>
      <w:marLeft w:val="0"/>
      <w:marRight w:val="0"/>
      <w:marTop w:val="0"/>
      <w:marBottom w:val="0"/>
      <w:divBdr>
        <w:top w:val="none" w:sz="0" w:space="0" w:color="auto"/>
        <w:left w:val="none" w:sz="0" w:space="0" w:color="auto"/>
        <w:bottom w:val="none" w:sz="0" w:space="0" w:color="auto"/>
        <w:right w:val="none" w:sz="0" w:space="0" w:color="auto"/>
      </w:divBdr>
    </w:div>
    <w:div w:id="868564143">
      <w:bodyDiv w:val="1"/>
      <w:marLeft w:val="0"/>
      <w:marRight w:val="0"/>
      <w:marTop w:val="0"/>
      <w:marBottom w:val="0"/>
      <w:divBdr>
        <w:top w:val="none" w:sz="0" w:space="0" w:color="auto"/>
        <w:left w:val="none" w:sz="0" w:space="0" w:color="auto"/>
        <w:bottom w:val="none" w:sz="0" w:space="0" w:color="auto"/>
        <w:right w:val="none" w:sz="0" w:space="0" w:color="auto"/>
      </w:divBdr>
    </w:div>
    <w:div w:id="904485996">
      <w:bodyDiv w:val="1"/>
      <w:marLeft w:val="0"/>
      <w:marRight w:val="0"/>
      <w:marTop w:val="0"/>
      <w:marBottom w:val="0"/>
      <w:divBdr>
        <w:top w:val="none" w:sz="0" w:space="0" w:color="auto"/>
        <w:left w:val="none" w:sz="0" w:space="0" w:color="auto"/>
        <w:bottom w:val="none" w:sz="0" w:space="0" w:color="auto"/>
        <w:right w:val="none" w:sz="0" w:space="0" w:color="auto"/>
      </w:divBdr>
    </w:div>
    <w:div w:id="948316777">
      <w:bodyDiv w:val="1"/>
      <w:marLeft w:val="0"/>
      <w:marRight w:val="0"/>
      <w:marTop w:val="0"/>
      <w:marBottom w:val="0"/>
      <w:divBdr>
        <w:top w:val="none" w:sz="0" w:space="0" w:color="auto"/>
        <w:left w:val="none" w:sz="0" w:space="0" w:color="auto"/>
        <w:bottom w:val="none" w:sz="0" w:space="0" w:color="auto"/>
        <w:right w:val="none" w:sz="0" w:space="0" w:color="auto"/>
      </w:divBdr>
    </w:div>
    <w:div w:id="967585929">
      <w:bodyDiv w:val="1"/>
      <w:marLeft w:val="0"/>
      <w:marRight w:val="0"/>
      <w:marTop w:val="0"/>
      <w:marBottom w:val="0"/>
      <w:divBdr>
        <w:top w:val="none" w:sz="0" w:space="0" w:color="auto"/>
        <w:left w:val="none" w:sz="0" w:space="0" w:color="auto"/>
        <w:bottom w:val="none" w:sz="0" w:space="0" w:color="auto"/>
        <w:right w:val="none" w:sz="0" w:space="0" w:color="auto"/>
      </w:divBdr>
    </w:div>
    <w:div w:id="1092705498">
      <w:bodyDiv w:val="1"/>
      <w:marLeft w:val="0"/>
      <w:marRight w:val="0"/>
      <w:marTop w:val="0"/>
      <w:marBottom w:val="0"/>
      <w:divBdr>
        <w:top w:val="none" w:sz="0" w:space="0" w:color="auto"/>
        <w:left w:val="none" w:sz="0" w:space="0" w:color="auto"/>
        <w:bottom w:val="none" w:sz="0" w:space="0" w:color="auto"/>
        <w:right w:val="none" w:sz="0" w:space="0" w:color="auto"/>
      </w:divBdr>
    </w:div>
    <w:div w:id="1097403629">
      <w:bodyDiv w:val="1"/>
      <w:marLeft w:val="0"/>
      <w:marRight w:val="0"/>
      <w:marTop w:val="0"/>
      <w:marBottom w:val="0"/>
      <w:divBdr>
        <w:top w:val="none" w:sz="0" w:space="0" w:color="auto"/>
        <w:left w:val="none" w:sz="0" w:space="0" w:color="auto"/>
        <w:bottom w:val="none" w:sz="0" w:space="0" w:color="auto"/>
        <w:right w:val="none" w:sz="0" w:space="0" w:color="auto"/>
      </w:divBdr>
    </w:div>
    <w:div w:id="1306861717">
      <w:bodyDiv w:val="1"/>
      <w:marLeft w:val="0"/>
      <w:marRight w:val="0"/>
      <w:marTop w:val="0"/>
      <w:marBottom w:val="0"/>
      <w:divBdr>
        <w:top w:val="none" w:sz="0" w:space="0" w:color="auto"/>
        <w:left w:val="none" w:sz="0" w:space="0" w:color="auto"/>
        <w:bottom w:val="none" w:sz="0" w:space="0" w:color="auto"/>
        <w:right w:val="none" w:sz="0" w:space="0" w:color="auto"/>
      </w:divBdr>
    </w:div>
    <w:div w:id="1359231809">
      <w:bodyDiv w:val="1"/>
      <w:marLeft w:val="0"/>
      <w:marRight w:val="0"/>
      <w:marTop w:val="0"/>
      <w:marBottom w:val="0"/>
      <w:divBdr>
        <w:top w:val="none" w:sz="0" w:space="0" w:color="auto"/>
        <w:left w:val="none" w:sz="0" w:space="0" w:color="auto"/>
        <w:bottom w:val="none" w:sz="0" w:space="0" w:color="auto"/>
        <w:right w:val="none" w:sz="0" w:space="0" w:color="auto"/>
      </w:divBdr>
    </w:div>
    <w:div w:id="1415279647">
      <w:bodyDiv w:val="1"/>
      <w:marLeft w:val="0"/>
      <w:marRight w:val="0"/>
      <w:marTop w:val="0"/>
      <w:marBottom w:val="0"/>
      <w:divBdr>
        <w:top w:val="none" w:sz="0" w:space="0" w:color="auto"/>
        <w:left w:val="none" w:sz="0" w:space="0" w:color="auto"/>
        <w:bottom w:val="none" w:sz="0" w:space="0" w:color="auto"/>
        <w:right w:val="none" w:sz="0" w:space="0" w:color="auto"/>
      </w:divBdr>
    </w:div>
    <w:div w:id="1425345710">
      <w:bodyDiv w:val="1"/>
      <w:marLeft w:val="0"/>
      <w:marRight w:val="0"/>
      <w:marTop w:val="0"/>
      <w:marBottom w:val="0"/>
      <w:divBdr>
        <w:top w:val="none" w:sz="0" w:space="0" w:color="auto"/>
        <w:left w:val="none" w:sz="0" w:space="0" w:color="auto"/>
        <w:bottom w:val="none" w:sz="0" w:space="0" w:color="auto"/>
        <w:right w:val="none" w:sz="0" w:space="0" w:color="auto"/>
      </w:divBdr>
    </w:div>
    <w:div w:id="1505628193">
      <w:bodyDiv w:val="1"/>
      <w:marLeft w:val="0"/>
      <w:marRight w:val="0"/>
      <w:marTop w:val="0"/>
      <w:marBottom w:val="0"/>
      <w:divBdr>
        <w:top w:val="none" w:sz="0" w:space="0" w:color="auto"/>
        <w:left w:val="none" w:sz="0" w:space="0" w:color="auto"/>
        <w:bottom w:val="none" w:sz="0" w:space="0" w:color="auto"/>
        <w:right w:val="none" w:sz="0" w:space="0" w:color="auto"/>
      </w:divBdr>
    </w:div>
    <w:div w:id="1513836291">
      <w:bodyDiv w:val="1"/>
      <w:marLeft w:val="0"/>
      <w:marRight w:val="0"/>
      <w:marTop w:val="0"/>
      <w:marBottom w:val="0"/>
      <w:divBdr>
        <w:top w:val="none" w:sz="0" w:space="0" w:color="auto"/>
        <w:left w:val="none" w:sz="0" w:space="0" w:color="auto"/>
        <w:bottom w:val="none" w:sz="0" w:space="0" w:color="auto"/>
        <w:right w:val="none" w:sz="0" w:space="0" w:color="auto"/>
      </w:divBdr>
    </w:div>
    <w:div w:id="1514539434">
      <w:bodyDiv w:val="1"/>
      <w:marLeft w:val="0"/>
      <w:marRight w:val="0"/>
      <w:marTop w:val="0"/>
      <w:marBottom w:val="0"/>
      <w:divBdr>
        <w:top w:val="none" w:sz="0" w:space="0" w:color="auto"/>
        <w:left w:val="none" w:sz="0" w:space="0" w:color="auto"/>
        <w:bottom w:val="none" w:sz="0" w:space="0" w:color="auto"/>
        <w:right w:val="none" w:sz="0" w:space="0" w:color="auto"/>
      </w:divBdr>
    </w:div>
    <w:div w:id="1545219404">
      <w:bodyDiv w:val="1"/>
      <w:marLeft w:val="0"/>
      <w:marRight w:val="0"/>
      <w:marTop w:val="0"/>
      <w:marBottom w:val="0"/>
      <w:divBdr>
        <w:top w:val="none" w:sz="0" w:space="0" w:color="auto"/>
        <w:left w:val="none" w:sz="0" w:space="0" w:color="auto"/>
        <w:bottom w:val="none" w:sz="0" w:space="0" w:color="auto"/>
        <w:right w:val="none" w:sz="0" w:space="0" w:color="auto"/>
      </w:divBdr>
    </w:div>
    <w:div w:id="1565531484">
      <w:bodyDiv w:val="1"/>
      <w:marLeft w:val="0"/>
      <w:marRight w:val="0"/>
      <w:marTop w:val="0"/>
      <w:marBottom w:val="0"/>
      <w:divBdr>
        <w:top w:val="none" w:sz="0" w:space="0" w:color="auto"/>
        <w:left w:val="none" w:sz="0" w:space="0" w:color="auto"/>
        <w:bottom w:val="none" w:sz="0" w:space="0" w:color="auto"/>
        <w:right w:val="none" w:sz="0" w:space="0" w:color="auto"/>
      </w:divBdr>
    </w:div>
    <w:div w:id="1570649665">
      <w:bodyDiv w:val="1"/>
      <w:marLeft w:val="0"/>
      <w:marRight w:val="0"/>
      <w:marTop w:val="0"/>
      <w:marBottom w:val="0"/>
      <w:divBdr>
        <w:top w:val="none" w:sz="0" w:space="0" w:color="auto"/>
        <w:left w:val="none" w:sz="0" w:space="0" w:color="auto"/>
        <w:bottom w:val="none" w:sz="0" w:space="0" w:color="auto"/>
        <w:right w:val="none" w:sz="0" w:space="0" w:color="auto"/>
      </w:divBdr>
    </w:div>
    <w:div w:id="1683971082">
      <w:bodyDiv w:val="1"/>
      <w:marLeft w:val="0"/>
      <w:marRight w:val="0"/>
      <w:marTop w:val="0"/>
      <w:marBottom w:val="0"/>
      <w:divBdr>
        <w:top w:val="none" w:sz="0" w:space="0" w:color="auto"/>
        <w:left w:val="none" w:sz="0" w:space="0" w:color="auto"/>
        <w:bottom w:val="none" w:sz="0" w:space="0" w:color="auto"/>
        <w:right w:val="none" w:sz="0" w:space="0" w:color="auto"/>
      </w:divBdr>
    </w:div>
    <w:div w:id="1693534181">
      <w:bodyDiv w:val="1"/>
      <w:marLeft w:val="0"/>
      <w:marRight w:val="0"/>
      <w:marTop w:val="0"/>
      <w:marBottom w:val="0"/>
      <w:divBdr>
        <w:top w:val="none" w:sz="0" w:space="0" w:color="auto"/>
        <w:left w:val="none" w:sz="0" w:space="0" w:color="auto"/>
        <w:bottom w:val="none" w:sz="0" w:space="0" w:color="auto"/>
        <w:right w:val="none" w:sz="0" w:space="0" w:color="auto"/>
      </w:divBdr>
    </w:div>
    <w:div w:id="1839465910">
      <w:bodyDiv w:val="1"/>
      <w:marLeft w:val="0"/>
      <w:marRight w:val="0"/>
      <w:marTop w:val="0"/>
      <w:marBottom w:val="0"/>
      <w:divBdr>
        <w:top w:val="none" w:sz="0" w:space="0" w:color="auto"/>
        <w:left w:val="none" w:sz="0" w:space="0" w:color="auto"/>
        <w:bottom w:val="none" w:sz="0" w:space="0" w:color="auto"/>
        <w:right w:val="none" w:sz="0" w:space="0" w:color="auto"/>
      </w:divBdr>
    </w:div>
    <w:div w:id="1847355371">
      <w:bodyDiv w:val="1"/>
      <w:marLeft w:val="0"/>
      <w:marRight w:val="0"/>
      <w:marTop w:val="0"/>
      <w:marBottom w:val="0"/>
      <w:divBdr>
        <w:top w:val="none" w:sz="0" w:space="0" w:color="auto"/>
        <w:left w:val="none" w:sz="0" w:space="0" w:color="auto"/>
        <w:bottom w:val="none" w:sz="0" w:space="0" w:color="auto"/>
        <w:right w:val="none" w:sz="0" w:space="0" w:color="auto"/>
      </w:divBdr>
    </w:div>
    <w:div w:id="1852142906">
      <w:bodyDiv w:val="1"/>
      <w:marLeft w:val="0"/>
      <w:marRight w:val="0"/>
      <w:marTop w:val="0"/>
      <w:marBottom w:val="0"/>
      <w:divBdr>
        <w:top w:val="none" w:sz="0" w:space="0" w:color="auto"/>
        <w:left w:val="none" w:sz="0" w:space="0" w:color="auto"/>
        <w:bottom w:val="none" w:sz="0" w:space="0" w:color="auto"/>
        <w:right w:val="none" w:sz="0" w:space="0" w:color="auto"/>
      </w:divBdr>
    </w:div>
    <w:div w:id="1869685827">
      <w:bodyDiv w:val="1"/>
      <w:marLeft w:val="0"/>
      <w:marRight w:val="0"/>
      <w:marTop w:val="0"/>
      <w:marBottom w:val="0"/>
      <w:divBdr>
        <w:top w:val="none" w:sz="0" w:space="0" w:color="auto"/>
        <w:left w:val="none" w:sz="0" w:space="0" w:color="auto"/>
        <w:bottom w:val="none" w:sz="0" w:space="0" w:color="auto"/>
        <w:right w:val="none" w:sz="0" w:space="0" w:color="auto"/>
      </w:divBdr>
    </w:div>
    <w:div w:id="1883251992">
      <w:bodyDiv w:val="1"/>
      <w:marLeft w:val="0"/>
      <w:marRight w:val="0"/>
      <w:marTop w:val="0"/>
      <w:marBottom w:val="0"/>
      <w:divBdr>
        <w:top w:val="none" w:sz="0" w:space="0" w:color="auto"/>
        <w:left w:val="none" w:sz="0" w:space="0" w:color="auto"/>
        <w:bottom w:val="none" w:sz="0" w:space="0" w:color="auto"/>
        <w:right w:val="none" w:sz="0" w:space="0" w:color="auto"/>
      </w:divBdr>
    </w:div>
    <w:div w:id="1895308305">
      <w:bodyDiv w:val="1"/>
      <w:marLeft w:val="0"/>
      <w:marRight w:val="0"/>
      <w:marTop w:val="0"/>
      <w:marBottom w:val="0"/>
      <w:divBdr>
        <w:top w:val="none" w:sz="0" w:space="0" w:color="auto"/>
        <w:left w:val="none" w:sz="0" w:space="0" w:color="auto"/>
        <w:bottom w:val="none" w:sz="0" w:space="0" w:color="auto"/>
        <w:right w:val="none" w:sz="0" w:space="0" w:color="auto"/>
      </w:divBdr>
    </w:div>
    <w:div w:id="1908225100">
      <w:bodyDiv w:val="1"/>
      <w:marLeft w:val="0"/>
      <w:marRight w:val="0"/>
      <w:marTop w:val="0"/>
      <w:marBottom w:val="0"/>
      <w:divBdr>
        <w:top w:val="none" w:sz="0" w:space="0" w:color="auto"/>
        <w:left w:val="none" w:sz="0" w:space="0" w:color="auto"/>
        <w:bottom w:val="none" w:sz="0" w:space="0" w:color="auto"/>
        <w:right w:val="none" w:sz="0" w:space="0" w:color="auto"/>
      </w:divBdr>
    </w:div>
    <w:div w:id="1919091835">
      <w:bodyDiv w:val="1"/>
      <w:marLeft w:val="0"/>
      <w:marRight w:val="0"/>
      <w:marTop w:val="0"/>
      <w:marBottom w:val="0"/>
      <w:divBdr>
        <w:top w:val="none" w:sz="0" w:space="0" w:color="auto"/>
        <w:left w:val="none" w:sz="0" w:space="0" w:color="auto"/>
        <w:bottom w:val="none" w:sz="0" w:space="0" w:color="auto"/>
        <w:right w:val="none" w:sz="0" w:space="0" w:color="auto"/>
      </w:divBdr>
    </w:div>
    <w:div w:id="1922566277">
      <w:bodyDiv w:val="1"/>
      <w:marLeft w:val="0"/>
      <w:marRight w:val="0"/>
      <w:marTop w:val="0"/>
      <w:marBottom w:val="0"/>
      <w:divBdr>
        <w:top w:val="none" w:sz="0" w:space="0" w:color="auto"/>
        <w:left w:val="none" w:sz="0" w:space="0" w:color="auto"/>
        <w:bottom w:val="none" w:sz="0" w:space="0" w:color="auto"/>
        <w:right w:val="none" w:sz="0" w:space="0" w:color="auto"/>
      </w:divBdr>
    </w:div>
    <w:div w:id="1967008651">
      <w:bodyDiv w:val="1"/>
      <w:marLeft w:val="0"/>
      <w:marRight w:val="0"/>
      <w:marTop w:val="0"/>
      <w:marBottom w:val="0"/>
      <w:divBdr>
        <w:top w:val="none" w:sz="0" w:space="0" w:color="auto"/>
        <w:left w:val="none" w:sz="0" w:space="0" w:color="auto"/>
        <w:bottom w:val="none" w:sz="0" w:space="0" w:color="auto"/>
        <w:right w:val="none" w:sz="0" w:space="0" w:color="auto"/>
      </w:divBdr>
    </w:div>
    <w:div w:id="1996369494">
      <w:bodyDiv w:val="1"/>
      <w:marLeft w:val="0"/>
      <w:marRight w:val="0"/>
      <w:marTop w:val="0"/>
      <w:marBottom w:val="0"/>
      <w:divBdr>
        <w:top w:val="none" w:sz="0" w:space="0" w:color="auto"/>
        <w:left w:val="none" w:sz="0" w:space="0" w:color="auto"/>
        <w:bottom w:val="none" w:sz="0" w:space="0" w:color="auto"/>
        <w:right w:val="none" w:sz="0" w:space="0" w:color="auto"/>
      </w:divBdr>
    </w:div>
    <w:div w:id="2038773007">
      <w:bodyDiv w:val="1"/>
      <w:marLeft w:val="0"/>
      <w:marRight w:val="0"/>
      <w:marTop w:val="0"/>
      <w:marBottom w:val="0"/>
      <w:divBdr>
        <w:top w:val="none" w:sz="0" w:space="0" w:color="auto"/>
        <w:left w:val="none" w:sz="0" w:space="0" w:color="auto"/>
        <w:bottom w:val="none" w:sz="0" w:space="0" w:color="auto"/>
        <w:right w:val="none" w:sz="0" w:space="0" w:color="auto"/>
      </w:divBdr>
    </w:div>
    <w:div w:id="2057897409">
      <w:bodyDiv w:val="1"/>
      <w:marLeft w:val="0"/>
      <w:marRight w:val="0"/>
      <w:marTop w:val="0"/>
      <w:marBottom w:val="0"/>
      <w:divBdr>
        <w:top w:val="none" w:sz="0" w:space="0" w:color="auto"/>
        <w:left w:val="none" w:sz="0" w:space="0" w:color="auto"/>
        <w:bottom w:val="none" w:sz="0" w:space="0" w:color="auto"/>
        <w:right w:val="none" w:sz="0" w:space="0" w:color="auto"/>
      </w:divBdr>
    </w:div>
    <w:div w:id="2094931130">
      <w:bodyDiv w:val="1"/>
      <w:marLeft w:val="0"/>
      <w:marRight w:val="0"/>
      <w:marTop w:val="0"/>
      <w:marBottom w:val="0"/>
      <w:divBdr>
        <w:top w:val="none" w:sz="0" w:space="0" w:color="auto"/>
        <w:left w:val="none" w:sz="0" w:space="0" w:color="auto"/>
        <w:bottom w:val="none" w:sz="0" w:space="0" w:color="auto"/>
        <w:right w:val="none" w:sz="0" w:space="0" w:color="auto"/>
      </w:divBdr>
    </w:div>
    <w:div w:id="2097899433">
      <w:bodyDiv w:val="1"/>
      <w:marLeft w:val="0"/>
      <w:marRight w:val="0"/>
      <w:marTop w:val="0"/>
      <w:marBottom w:val="0"/>
      <w:divBdr>
        <w:top w:val="none" w:sz="0" w:space="0" w:color="auto"/>
        <w:left w:val="none" w:sz="0" w:space="0" w:color="auto"/>
        <w:bottom w:val="none" w:sz="0" w:space="0" w:color="auto"/>
        <w:right w:val="none" w:sz="0" w:space="0" w:color="auto"/>
      </w:divBdr>
    </w:div>
    <w:div w:id="2116293147">
      <w:bodyDiv w:val="1"/>
      <w:marLeft w:val="0"/>
      <w:marRight w:val="0"/>
      <w:marTop w:val="0"/>
      <w:marBottom w:val="0"/>
      <w:divBdr>
        <w:top w:val="none" w:sz="0" w:space="0" w:color="auto"/>
        <w:left w:val="none" w:sz="0" w:space="0" w:color="auto"/>
        <w:bottom w:val="none" w:sz="0" w:space="0" w:color="auto"/>
        <w:right w:val="none" w:sz="0" w:space="0" w:color="auto"/>
      </w:divBdr>
    </w:div>
    <w:div w:id="21279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E6992-06EC-4F4B-862E-4CBC3E95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6</Pages>
  <Words>3292</Words>
  <Characters>18109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SITUACIÓN FISCAL DEL SECTOR PÚBLICO PROVINCIAL</vt:lpstr>
    </vt:vector>
  </TitlesOfParts>
  <Company>MECON</Company>
  <LinksUpToDate>false</LinksUpToDate>
  <CharactersWithSpaces>21359</CharactersWithSpaces>
  <SharedDoc>false</SharedDoc>
  <HLinks>
    <vt:vector size="48" baseType="variant">
      <vt:variant>
        <vt:i4>1376309</vt:i4>
      </vt:variant>
      <vt:variant>
        <vt:i4>44</vt:i4>
      </vt:variant>
      <vt:variant>
        <vt:i4>0</vt:i4>
      </vt:variant>
      <vt:variant>
        <vt:i4>5</vt:i4>
      </vt:variant>
      <vt:variant>
        <vt:lpwstr/>
      </vt:variant>
      <vt:variant>
        <vt:lpwstr>_Toc356221246</vt:lpwstr>
      </vt:variant>
      <vt:variant>
        <vt:i4>1376309</vt:i4>
      </vt:variant>
      <vt:variant>
        <vt:i4>38</vt:i4>
      </vt:variant>
      <vt:variant>
        <vt:i4>0</vt:i4>
      </vt:variant>
      <vt:variant>
        <vt:i4>5</vt:i4>
      </vt:variant>
      <vt:variant>
        <vt:lpwstr/>
      </vt:variant>
      <vt:variant>
        <vt:lpwstr>_Toc356221245</vt:lpwstr>
      </vt:variant>
      <vt:variant>
        <vt:i4>1376309</vt:i4>
      </vt:variant>
      <vt:variant>
        <vt:i4>32</vt:i4>
      </vt:variant>
      <vt:variant>
        <vt:i4>0</vt:i4>
      </vt:variant>
      <vt:variant>
        <vt:i4>5</vt:i4>
      </vt:variant>
      <vt:variant>
        <vt:lpwstr/>
      </vt:variant>
      <vt:variant>
        <vt:lpwstr>_Toc356221244</vt:lpwstr>
      </vt:variant>
      <vt:variant>
        <vt:i4>1376309</vt:i4>
      </vt:variant>
      <vt:variant>
        <vt:i4>26</vt:i4>
      </vt:variant>
      <vt:variant>
        <vt:i4>0</vt:i4>
      </vt:variant>
      <vt:variant>
        <vt:i4>5</vt:i4>
      </vt:variant>
      <vt:variant>
        <vt:lpwstr/>
      </vt:variant>
      <vt:variant>
        <vt:lpwstr>_Toc356221243</vt:lpwstr>
      </vt:variant>
      <vt:variant>
        <vt:i4>1376309</vt:i4>
      </vt:variant>
      <vt:variant>
        <vt:i4>20</vt:i4>
      </vt:variant>
      <vt:variant>
        <vt:i4>0</vt:i4>
      </vt:variant>
      <vt:variant>
        <vt:i4>5</vt:i4>
      </vt:variant>
      <vt:variant>
        <vt:lpwstr/>
      </vt:variant>
      <vt:variant>
        <vt:lpwstr>_Toc356221242</vt:lpwstr>
      </vt:variant>
      <vt:variant>
        <vt:i4>1376309</vt:i4>
      </vt:variant>
      <vt:variant>
        <vt:i4>14</vt:i4>
      </vt:variant>
      <vt:variant>
        <vt:i4>0</vt:i4>
      </vt:variant>
      <vt:variant>
        <vt:i4>5</vt:i4>
      </vt:variant>
      <vt:variant>
        <vt:lpwstr/>
      </vt:variant>
      <vt:variant>
        <vt:lpwstr>_Toc356221241</vt:lpwstr>
      </vt:variant>
      <vt:variant>
        <vt:i4>1376309</vt:i4>
      </vt:variant>
      <vt:variant>
        <vt:i4>8</vt:i4>
      </vt:variant>
      <vt:variant>
        <vt:i4>0</vt:i4>
      </vt:variant>
      <vt:variant>
        <vt:i4>5</vt:i4>
      </vt:variant>
      <vt:variant>
        <vt:lpwstr/>
      </vt:variant>
      <vt:variant>
        <vt:lpwstr>_Toc356221240</vt:lpwstr>
      </vt:variant>
      <vt:variant>
        <vt:i4>1179701</vt:i4>
      </vt:variant>
      <vt:variant>
        <vt:i4>2</vt:i4>
      </vt:variant>
      <vt:variant>
        <vt:i4>0</vt:i4>
      </vt:variant>
      <vt:variant>
        <vt:i4>5</vt:i4>
      </vt:variant>
      <vt:variant>
        <vt:lpwstr/>
      </vt:variant>
      <vt:variant>
        <vt:lpwstr>_Toc356221239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SITUACIÓN FISCAL DEL SECTOR PÚBLICO PROVINCIAL</dc:title>
  <dc:creator>swarme</dc:creator>
  <cp:lastModifiedBy>ftomas</cp:lastModifiedBy>
  <cp:revision>35</cp:revision>
  <cp:lastPrinted>2019-10-04T13:39:00Z</cp:lastPrinted>
  <dcterms:created xsi:type="dcterms:W3CDTF">2019-10-04T14:13:00Z</dcterms:created>
  <dcterms:modified xsi:type="dcterms:W3CDTF">2022-04-19T18:27:00Z</dcterms:modified>
</cp:coreProperties>
</file>