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472" w:rsidRDefault="00DB4472" w:rsidP="005D77D1">
      <w:pPr>
        <w:pStyle w:val="Sinespaciado"/>
        <w:rPr>
          <w:rFonts w:ascii="Trebuchet MS" w:hAnsi="Trebuchet MS"/>
          <w:sz w:val="40"/>
          <w:szCs w:val="40"/>
          <w:u w:val="single"/>
        </w:rPr>
      </w:pPr>
      <w:bookmarkStart w:id="0" w:name="_GoBack"/>
      <w:bookmarkEnd w:id="0"/>
    </w:p>
    <w:p w:rsidR="00BC162C" w:rsidRDefault="009D7CB2" w:rsidP="005D77D1">
      <w:pPr>
        <w:pStyle w:val="Sinespaciado"/>
        <w:rPr>
          <w:rFonts w:ascii="Trebuchet MS" w:hAnsi="Trebuchet MS"/>
          <w:sz w:val="40"/>
          <w:szCs w:val="40"/>
          <w:u w:val="single"/>
        </w:rPr>
      </w:pPr>
      <w:r>
        <w:rPr>
          <w:rFonts w:ascii="Trebuchet MS" w:hAnsi="Trebuchet MS"/>
          <w:noProof/>
          <w:sz w:val="40"/>
          <w:szCs w:val="40"/>
          <w:u w:val="single"/>
        </w:rPr>
        <mc:AlternateContent>
          <mc:Choice Requires="wps">
            <w:drawing>
              <wp:anchor distT="0" distB="0" distL="114300" distR="114300" simplePos="0" relativeHeight="251656192" behindDoc="1" locked="0" layoutInCell="1" allowOverlap="1">
                <wp:simplePos x="0" y="0"/>
                <wp:positionH relativeFrom="margin">
                  <wp:posOffset>-270510</wp:posOffset>
                </wp:positionH>
                <wp:positionV relativeFrom="margin">
                  <wp:posOffset>-443230</wp:posOffset>
                </wp:positionV>
                <wp:extent cx="5941060" cy="3638550"/>
                <wp:effectExtent l="0" t="0" r="0" b="0"/>
                <wp:wrapNone/>
                <wp:docPr id="382"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1060" cy="3638550"/>
                        </a:xfrm>
                        <a:prstGeom prst="rect">
                          <a:avLst/>
                        </a:prstGeom>
                        <a:solidFill>
                          <a:srgbClr val="3572A5"/>
                        </a:solidFill>
                        <a:ln>
                          <a:noFill/>
                        </a:ln>
                        <a:effectLst/>
                        <a:extLst>
                          <a:ext uri="{53640926-AAD7-44D8-BBD7-CCE9431645EC}">
                            <a14:shadowObscured xmlns:a14="http://schemas.microsoft.com/office/drawing/2010/main" val="1"/>
                          </a:ext>
                        </a:extLst>
                      </wps:spPr>
                      <wps:txbx>
                        <w:txbxContent>
                          <w:p w:rsidR="00D63272" w:rsidRPr="004D166D" w:rsidRDefault="00D63272" w:rsidP="00D63272">
                            <w:pPr>
                              <w:pStyle w:val="Sinespaciado"/>
                              <w:spacing w:before="240" w:after="240"/>
                              <w:ind w:right="-2104"/>
                              <w:jc w:val="center"/>
                              <w:rPr>
                                <w:rFonts w:ascii="Trebuchet MS" w:hAnsi="Trebuchet MS"/>
                                <w:color w:val="FFFFFF"/>
                                <w:sz w:val="40"/>
                                <w:szCs w:val="40"/>
                              </w:rPr>
                            </w:pPr>
                          </w:p>
                          <w:p w:rsidR="00D63272" w:rsidRPr="004D166D" w:rsidRDefault="00D63272" w:rsidP="00D63272">
                            <w:pPr>
                              <w:pStyle w:val="Sinespaciado"/>
                              <w:spacing w:before="240" w:after="240"/>
                              <w:ind w:right="-2104"/>
                              <w:jc w:val="center"/>
                              <w:rPr>
                                <w:rFonts w:ascii="Trebuchet MS" w:hAnsi="Trebuchet MS"/>
                                <w:color w:val="FFFFFF"/>
                                <w:sz w:val="40"/>
                                <w:szCs w:val="40"/>
                              </w:rPr>
                            </w:pPr>
                          </w:p>
                          <w:p w:rsidR="00D63272" w:rsidRPr="004D166D" w:rsidRDefault="00D63272" w:rsidP="00D63272">
                            <w:pPr>
                              <w:pStyle w:val="Sinespaciado"/>
                              <w:spacing w:before="240" w:after="240"/>
                              <w:ind w:right="-2104"/>
                              <w:jc w:val="center"/>
                              <w:rPr>
                                <w:rFonts w:ascii="Trebuchet MS" w:hAnsi="Trebuchet MS"/>
                                <w:color w:val="FFFFFF"/>
                                <w:sz w:val="40"/>
                                <w:szCs w:val="40"/>
                              </w:rPr>
                            </w:pPr>
                          </w:p>
                          <w:p w:rsidR="00D63272" w:rsidRPr="004D166D" w:rsidRDefault="00D63272" w:rsidP="00D63272">
                            <w:pPr>
                              <w:pStyle w:val="Sinespaciado"/>
                              <w:ind w:right="-2104"/>
                              <w:jc w:val="center"/>
                              <w:rPr>
                                <w:rFonts w:ascii="Cambria" w:hAnsi="Cambria"/>
                                <w:color w:val="FFFFFF"/>
                                <w:sz w:val="64"/>
                                <w:szCs w:val="64"/>
                              </w:rPr>
                            </w:pPr>
                            <w:r w:rsidRPr="004D166D">
                              <w:rPr>
                                <w:rFonts w:ascii="Cambria" w:hAnsi="Cambria"/>
                                <w:color w:val="FFFFFF"/>
                                <w:sz w:val="64"/>
                                <w:szCs w:val="64"/>
                              </w:rPr>
                              <w:t>SITUACIÓN FISCAL</w:t>
                            </w:r>
                          </w:p>
                          <w:p w:rsidR="00D63272" w:rsidRPr="004D166D" w:rsidRDefault="00D63272" w:rsidP="00D63272">
                            <w:pPr>
                              <w:pStyle w:val="Sinespaciado"/>
                              <w:ind w:right="-2104"/>
                              <w:jc w:val="center"/>
                              <w:rPr>
                                <w:rFonts w:ascii="Cambria" w:hAnsi="Cambria"/>
                                <w:color w:val="FFFFFF"/>
                                <w:sz w:val="64"/>
                                <w:szCs w:val="64"/>
                              </w:rPr>
                            </w:pPr>
                            <w:r w:rsidRPr="004D166D">
                              <w:rPr>
                                <w:rFonts w:ascii="Cambria" w:hAnsi="Cambria"/>
                                <w:color w:val="FFFFFF"/>
                                <w:sz w:val="64"/>
                                <w:szCs w:val="64"/>
                              </w:rPr>
                              <w:t>PROVINCIAL</w:t>
                            </w:r>
                          </w:p>
                          <w:p w:rsidR="00D63272" w:rsidRPr="004D166D" w:rsidRDefault="00D63272" w:rsidP="00D63272">
                            <w:pPr>
                              <w:pStyle w:val="Sinespaciado"/>
                              <w:ind w:right="-2104"/>
                              <w:jc w:val="center"/>
                              <w:rPr>
                                <w:rFonts w:ascii="Cambria" w:hAnsi="Cambria"/>
                                <w:color w:val="FFFFFF"/>
                                <w:sz w:val="64"/>
                                <w:szCs w:val="64"/>
                              </w:rPr>
                            </w:pPr>
                          </w:p>
                          <w:p w:rsidR="00D63272" w:rsidRPr="004D166D" w:rsidRDefault="00D63272" w:rsidP="00D63272">
                            <w:pPr>
                              <w:pStyle w:val="Sinespaciado"/>
                              <w:ind w:right="-2104"/>
                              <w:jc w:val="center"/>
                              <w:rPr>
                                <w:rFonts w:ascii="Cambria" w:hAnsi="Cambria"/>
                                <w:color w:val="FFFFFF"/>
                                <w:sz w:val="64"/>
                                <w:szCs w:val="64"/>
                              </w:rPr>
                            </w:pPr>
                          </w:p>
                          <w:p w:rsidR="00DB4472" w:rsidRPr="004D166D" w:rsidRDefault="00DB4472" w:rsidP="00DB4472">
                            <w:pPr>
                              <w:pStyle w:val="Sinespaciado"/>
                              <w:ind w:right="-2104"/>
                              <w:jc w:val="center"/>
                              <w:rPr>
                                <w:rFonts w:ascii="Cambria" w:hAnsi="Cambria"/>
                                <w:color w:val="FFFFFF"/>
                                <w:sz w:val="64"/>
                                <w:szCs w:val="64"/>
                              </w:rPr>
                            </w:pPr>
                          </w:p>
                        </w:txbxContent>
                      </wps:txbx>
                      <wps:bodyPr rot="0" vert="horz" wrap="square" lIns="228600" tIns="45720" rIns="1371600" bIns="91440" anchor="b" anchorCtr="0" upright="1">
                        <a:noAutofit/>
                      </wps:bodyPr>
                    </wps:wsp>
                  </a:graphicData>
                </a:graphic>
                <wp14:sizeRelH relativeFrom="margin">
                  <wp14:pctWidth>110000</wp14:pctWidth>
                </wp14:sizeRelH>
                <wp14:sizeRelV relativeFrom="margin">
                  <wp14:pctHeight>0</wp14:pctHeight>
                </wp14:sizeRelV>
              </wp:anchor>
            </w:drawing>
          </mc:Choice>
          <mc:Fallback>
            <w:pict>
              <v:rect id="Rectángulo 6" o:spid="_x0000_s1026" style="position:absolute;margin-left:-21.3pt;margin-top:-34.9pt;width:467.8pt;height:286.5pt;z-index:-251660288;visibility:visible;mso-wrap-style:square;mso-width-percent:1100;mso-height-percent:0;mso-wrap-distance-left:9pt;mso-wrap-distance-top:0;mso-wrap-distance-right:9pt;mso-wrap-distance-bottom:0;mso-position-horizontal:absolute;mso-position-horizontal-relative:margin;mso-position-vertical:absolute;mso-position-vertical-relative:margin;mso-width-percent:110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" fillcolor="#3572a5" stroked="f">
                <v:textbox inset="18pt,,108pt,7.2pt">
                  <w:txbxContent>
                    <w:p w:rsidR="00D63272" w:rsidRPr="004D166D" w:rsidRDefault="00D63272" w:rsidP="00D63272">
                      <w:pPr>
                        <w:pStyle w:val="Sinespaciado"/>
                        <w:spacing w:before="240" w:after="240"/>
                        <w:ind w:right="-2104"/>
                        <w:jc w:val="center"/>
                        <w:rPr>
                          <w:rFonts w:ascii="Trebuchet MS" w:hAnsi="Trebuchet MS"/>
                          <w:color w:val="FFFFFF"/>
                          <w:sz w:val="40"/>
                          <w:szCs w:val="40"/>
                        </w:rPr>
                      </w:pPr>
                    </w:p>
                    <w:p w:rsidR="00D63272" w:rsidRPr="004D166D" w:rsidRDefault="00D63272" w:rsidP="00D63272">
                      <w:pPr>
                        <w:pStyle w:val="Sinespaciado"/>
                        <w:spacing w:before="240" w:after="240"/>
                        <w:ind w:right="-2104"/>
                        <w:jc w:val="center"/>
                        <w:rPr>
                          <w:rFonts w:ascii="Trebuchet MS" w:hAnsi="Trebuchet MS"/>
                          <w:color w:val="FFFFFF"/>
                          <w:sz w:val="40"/>
                          <w:szCs w:val="40"/>
                        </w:rPr>
                      </w:pPr>
                    </w:p>
                    <w:p w:rsidR="00D63272" w:rsidRPr="004D166D" w:rsidRDefault="00D63272" w:rsidP="00D63272">
                      <w:pPr>
                        <w:pStyle w:val="Sinespaciado"/>
                        <w:spacing w:before="240" w:after="240"/>
                        <w:ind w:right="-2104"/>
                        <w:jc w:val="center"/>
                        <w:rPr>
                          <w:rFonts w:ascii="Trebuchet MS" w:hAnsi="Trebuchet MS"/>
                          <w:color w:val="FFFFFF"/>
                          <w:sz w:val="40"/>
                          <w:szCs w:val="40"/>
                        </w:rPr>
                      </w:pPr>
                    </w:p>
                    <w:p w:rsidR="00D63272" w:rsidRPr="004D166D" w:rsidRDefault="00D63272" w:rsidP="00D63272">
                      <w:pPr>
                        <w:pStyle w:val="Sinespaciado"/>
                        <w:ind w:right="-2104"/>
                        <w:jc w:val="center"/>
                        <w:rPr>
                          <w:rFonts w:ascii="Cambria" w:hAnsi="Cambria"/>
                          <w:color w:val="FFFFFF"/>
                          <w:sz w:val="64"/>
                          <w:szCs w:val="64"/>
                        </w:rPr>
                      </w:pPr>
                      <w:r w:rsidRPr="004D166D">
                        <w:rPr>
                          <w:rFonts w:ascii="Cambria" w:hAnsi="Cambria"/>
                          <w:color w:val="FFFFFF"/>
                          <w:sz w:val="64"/>
                          <w:szCs w:val="64"/>
                        </w:rPr>
                        <w:t>SITUACIÓN FISCAL</w:t>
                      </w:r>
                    </w:p>
                    <w:p w:rsidR="00D63272" w:rsidRPr="004D166D" w:rsidRDefault="00D63272" w:rsidP="00D63272">
                      <w:pPr>
                        <w:pStyle w:val="Sinespaciado"/>
                        <w:ind w:right="-2104"/>
                        <w:jc w:val="center"/>
                        <w:rPr>
                          <w:rFonts w:ascii="Cambria" w:hAnsi="Cambria"/>
                          <w:color w:val="FFFFFF"/>
                          <w:sz w:val="64"/>
                          <w:szCs w:val="64"/>
                        </w:rPr>
                      </w:pPr>
                      <w:r w:rsidRPr="004D166D">
                        <w:rPr>
                          <w:rFonts w:ascii="Cambria" w:hAnsi="Cambria"/>
                          <w:color w:val="FFFFFF"/>
                          <w:sz w:val="64"/>
                          <w:szCs w:val="64"/>
                        </w:rPr>
                        <w:t>PROVINCIAL</w:t>
                      </w:r>
                    </w:p>
                    <w:p w:rsidR="00D63272" w:rsidRPr="004D166D" w:rsidRDefault="00D63272" w:rsidP="00D63272">
                      <w:pPr>
                        <w:pStyle w:val="Sinespaciado"/>
                        <w:ind w:right="-2104"/>
                        <w:jc w:val="center"/>
                        <w:rPr>
                          <w:rFonts w:ascii="Cambria" w:hAnsi="Cambria"/>
                          <w:color w:val="FFFFFF"/>
                          <w:sz w:val="64"/>
                          <w:szCs w:val="64"/>
                        </w:rPr>
                      </w:pPr>
                    </w:p>
                    <w:p w:rsidR="00D63272" w:rsidRPr="004D166D" w:rsidRDefault="00D63272" w:rsidP="00D63272">
                      <w:pPr>
                        <w:pStyle w:val="Sinespaciado"/>
                        <w:ind w:right="-2104"/>
                        <w:jc w:val="center"/>
                        <w:rPr>
                          <w:rFonts w:ascii="Cambria" w:hAnsi="Cambria"/>
                          <w:color w:val="FFFFFF"/>
                          <w:sz w:val="64"/>
                          <w:szCs w:val="64"/>
                        </w:rPr>
                      </w:pPr>
                    </w:p>
                    <w:p w:rsidR="00DB4472" w:rsidRPr="004D166D" w:rsidRDefault="00DB4472" w:rsidP="00DB4472">
                      <w:pPr>
                        <w:pStyle w:val="Sinespaciado"/>
                        <w:ind w:right="-2104"/>
                        <w:jc w:val="center"/>
                        <w:rPr>
                          <w:rFonts w:ascii="Cambria" w:hAnsi="Cambria"/>
                          <w:color w:val="FFFFFF"/>
                          <w:sz w:val="64"/>
                          <w:szCs w:val="64"/>
                        </w:rPr>
                      </w:pPr>
                    </w:p>
                  </w:txbxContent>
                </v:textbox>
                <w10:wrap anchorx="margin" anchory="margin"/>
              </v:rect>
            </w:pict>
          </mc:Fallback>
        </mc:AlternateContent>
      </w:r>
    </w:p>
    <w:p w:rsidR="00133208" w:rsidRDefault="009D7CB2" w:rsidP="00163884">
      <w:pPr>
        <w:rPr>
          <w:rFonts w:ascii="Trebuchet MS" w:hAnsi="Trebuchet MS"/>
          <w:b/>
          <w:sz w:val="40"/>
          <w:szCs w:val="40"/>
          <w:u w:val="single"/>
        </w:rPr>
        <w:sectPr w:rsidR="00133208" w:rsidSect="004437F8">
          <w:headerReference w:type="default" r:id="rId8"/>
          <w:footerReference w:type="even" r:id="rId9"/>
          <w:footerReference w:type="default" r:id="rId10"/>
          <w:footerReference w:type="first" r:id="rId11"/>
          <w:type w:val="continuous"/>
          <w:pgSz w:w="11907" w:h="16839" w:code="9"/>
          <w:pgMar w:top="1418" w:right="1701" w:bottom="1418" w:left="1701" w:header="567" w:footer="567" w:gutter="0"/>
          <w:pgNumType w:start="0"/>
          <w:cols w:space="708"/>
          <w:titlePg/>
          <w:docGrid w:linePitch="360"/>
        </w:sectPr>
      </w:pPr>
      <w:r>
        <w:rPr>
          <w:noProof/>
          <w:lang w:val="es-AR" w:eastAsia="es-AR"/>
        </w:rPr>
        <mc:AlternateContent>
          <mc:Choice Requires="wps">
            <w:drawing>
              <wp:anchor distT="0" distB="0" distL="114300" distR="114300" simplePos="0" relativeHeight="251652096" behindDoc="1" locked="0" layoutInCell="1" allowOverlap="1">
                <wp:simplePos x="0" y="0"/>
                <wp:positionH relativeFrom="margin">
                  <wp:posOffset>-270510</wp:posOffset>
                </wp:positionH>
                <wp:positionV relativeFrom="margin">
                  <wp:posOffset>3195320</wp:posOffset>
                </wp:positionV>
                <wp:extent cx="5941060" cy="6125845"/>
                <wp:effectExtent l="0" t="0" r="0" b="0"/>
                <wp:wrapNone/>
                <wp:docPr id="388" name="Rectángulo 3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1060" cy="6125845"/>
                        </a:xfrm>
                        <a:prstGeom prst="rect">
                          <a:avLst/>
                        </a:prstGeom>
                        <a:solidFill>
                          <a:srgbClr val="ABD4E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110000</wp14:pctWidth>
                </wp14:sizeRelH>
                <wp14:sizeRelV relativeFrom="margin">
                  <wp14:pctHeight>0</wp14:pctHeight>
                </wp14:sizeRelV>
              </wp:anchor>
            </w:drawing>
          </mc:Choice>
          <mc:Fallback>
            <w:pict>
              <v:rect w14:anchorId="5DF55702" id="Rectángulo 388" o:spid="_x0000_s1026" style="position:absolute;margin-left:-21.3pt;margin-top:251.6pt;width:467.8pt;height:482.35pt;z-index:-251664384;visibility:visible;mso-wrap-style:square;mso-width-percent:1100;mso-height-percent:0;mso-wrap-distance-left:9pt;mso-wrap-distance-top:0;mso-wrap-distance-right:9pt;mso-wrap-distance-bottom:0;mso-position-horizontal:absolute;mso-position-horizontal-relative:margin;mso-position-vertical:absolute;mso-position-vertical-relative:margin;mso-width-percent:11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" fillcolor="#abd4ed" stroked="f" strokeweight="2pt">
                <v:path arrowok="t"/>
                <w10:wrap anchorx="margin" anchory="margin"/>
              </v:rect>
            </w:pict>
          </mc:Fallback>
        </mc:AlternateContent>
      </w:r>
      <w:r>
        <w:rPr>
          <w:noProof/>
          <w:lang w:val="es-AR" w:eastAsia="es-AR"/>
        </w:rPr>
        <mc:AlternateContent>
          <mc:Choice Requires="wps">
            <w:drawing>
              <wp:anchor distT="0" distB="0" distL="114300" distR="114300" simplePos="0" relativeHeight="251654144" behindDoc="0" locked="0" layoutInCell="1" allowOverlap="1">
                <wp:simplePos x="0" y="0"/>
                <wp:positionH relativeFrom="margin">
                  <wp:posOffset>1472565</wp:posOffset>
                </wp:positionH>
                <wp:positionV relativeFrom="margin">
                  <wp:posOffset>5081905</wp:posOffset>
                </wp:positionV>
                <wp:extent cx="4144010" cy="1571625"/>
                <wp:effectExtent l="0" t="0" r="0" b="0"/>
                <wp:wrapNone/>
                <wp:docPr id="387" name="Cuadro de texto 3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44010" cy="1571625"/>
                        </a:xfrm>
                        <a:prstGeom prst="rect">
                          <a:avLst/>
                        </a:prstGeom>
                        <a:noFill/>
                        <a:ln w="6350">
                          <a:noFill/>
                        </a:ln>
                        <a:effectLst/>
                      </wps:spPr>
                      <wps:txbx>
                        <w:txbxContent>
                          <w:p w:rsidR="00FD5048" w:rsidRPr="001A0D1D" w:rsidRDefault="00FD5048" w:rsidP="00163884">
                            <w:pPr>
                              <w:suppressOverlap/>
                              <w:rPr>
                                <w:rFonts w:ascii="Cambria" w:hAnsi="Cambria"/>
                                <w:b/>
                                <w:color w:val="595959"/>
                                <w:sz w:val="48"/>
                                <w:szCs w:val="48"/>
                              </w:rPr>
                            </w:pPr>
                            <w:r w:rsidRPr="001A0D1D">
                              <w:rPr>
                                <w:rFonts w:ascii="Cambria" w:hAnsi="Cambria"/>
                                <w:b/>
                                <w:color w:val="595959"/>
                                <w:sz w:val="48"/>
                                <w:szCs w:val="48"/>
                              </w:rPr>
                              <w:t>ADMINISTRACIÓN PÚBLICA NO FINANCIERA</w:t>
                            </w:r>
                          </w:p>
                          <w:p w:rsidR="00FD5048" w:rsidRPr="001A0D1D" w:rsidRDefault="00FD5048" w:rsidP="00163884">
                            <w:pPr>
                              <w:rPr>
                                <w:rFonts w:ascii="Cambria" w:hAnsi="Cambria"/>
                                <w:b/>
                                <w:color w:val="595959"/>
                                <w:sz w:val="36"/>
                                <w:szCs w:val="36"/>
                              </w:rPr>
                            </w:pPr>
                          </w:p>
                          <w:p w:rsidR="00FD5048" w:rsidRPr="001A0D1D" w:rsidRDefault="00FD5048" w:rsidP="00163884">
                            <w:pPr>
                              <w:rPr>
                                <w:rFonts w:ascii="Cambria" w:hAnsi="Cambria"/>
                                <w:b/>
                                <w:color w:val="595959"/>
                                <w:sz w:val="36"/>
                                <w:szCs w:val="36"/>
                              </w:rPr>
                            </w:pPr>
                            <w:r w:rsidRPr="001A0D1D">
                              <w:rPr>
                                <w:rFonts w:ascii="Cambria" w:hAnsi="Cambria"/>
                                <w:b/>
                                <w:color w:val="595959"/>
                                <w:sz w:val="36"/>
                                <w:szCs w:val="36"/>
                              </w:rPr>
                              <w:t>CUARTO TRIMESTRE 20</w:t>
                            </w:r>
                            <w:r w:rsidR="00532533">
                              <w:rPr>
                                <w:rFonts w:ascii="Cambria" w:hAnsi="Cambria"/>
                                <w:b/>
                                <w:color w:val="595959"/>
                                <w:sz w:val="36"/>
                                <w:szCs w:val="36"/>
                              </w:rPr>
                              <w:t>20</w:t>
                            </w:r>
                          </w:p>
                        </w:txbxContent>
                      </wps:txbx>
                      <wps:bodyPr rot="0" spcFirstLastPara="0" vertOverflow="overflow" horzOverflow="overflow" vert="horz" wrap="square" lIns="91440" tIns="182880" rIns="9144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387" o:spid="_x0000_s1027" type="#_x0000_t202" style="position:absolute;margin-left:115.95pt;margin-top:400.15pt;width:326.3pt;height:123.7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" filled="f" stroked="f" strokeweight=".5pt">
                <v:path arrowok="t"/>
                <v:textbox inset=",14.4pt,,7.2pt">
                  <w:txbxContent>
                    <w:p w:rsidR="00FD5048" w:rsidRPr="001A0D1D" w:rsidRDefault="00FD5048" w:rsidP="00163884">
                      <w:pPr>
                        <w:suppressOverlap/>
                        <w:rPr>
                          <w:rFonts w:ascii="Cambria" w:hAnsi="Cambria"/>
                          <w:b/>
                          <w:color w:val="595959"/>
                          <w:sz w:val="48"/>
                          <w:szCs w:val="48"/>
                        </w:rPr>
                      </w:pPr>
                      <w:r w:rsidRPr="001A0D1D">
                        <w:rPr>
                          <w:rFonts w:ascii="Cambria" w:hAnsi="Cambria"/>
                          <w:b/>
                          <w:color w:val="595959"/>
                          <w:sz w:val="48"/>
                          <w:szCs w:val="48"/>
                        </w:rPr>
                        <w:t>ADMINISTRACIÓN PÚBLICA NO FINANCIERA</w:t>
                      </w:r>
                    </w:p>
                    <w:p w:rsidR="00FD5048" w:rsidRPr="001A0D1D" w:rsidRDefault="00FD5048" w:rsidP="00163884">
                      <w:pPr>
                        <w:rPr>
                          <w:rFonts w:ascii="Cambria" w:hAnsi="Cambria"/>
                          <w:b/>
                          <w:color w:val="595959"/>
                          <w:sz w:val="36"/>
                          <w:szCs w:val="36"/>
                        </w:rPr>
                      </w:pPr>
                    </w:p>
                    <w:p w:rsidR="00FD5048" w:rsidRPr="001A0D1D" w:rsidRDefault="00FD5048" w:rsidP="00163884">
                      <w:pPr>
                        <w:rPr>
                          <w:rFonts w:ascii="Cambria" w:hAnsi="Cambria"/>
                          <w:b/>
                          <w:color w:val="595959"/>
                          <w:sz w:val="36"/>
                          <w:szCs w:val="36"/>
                        </w:rPr>
                      </w:pPr>
                      <w:r w:rsidRPr="001A0D1D">
                        <w:rPr>
                          <w:rFonts w:ascii="Cambria" w:hAnsi="Cambria"/>
                          <w:b/>
                          <w:color w:val="595959"/>
                          <w:sz w:val="36"/>
                          <w:szCs w:val="36"/>
                        </w:rPr>
                        <w:t>CUARTO TRIMESTRE 20</w:t>
                      </w:r>
                      <w:r w:rsidR="00532533">
                        <w:rPr>
                          <w:rFonts w:ascii="Cambria" w:hAnsi="Cambria"/>
                          <w:b/>
                          <w:color w:val="595959"/>
                          <w:sz w:val="36"/>
                          <w:szCs w:val="36"/>
                        </w:rPr>
                        <w:t>20</w:t>
                      </w:r>
                    </w:p>
                  </w:txbxContent>
                </v:textbox>
                <w10:wrap anchorx="margin" anchory="margin"/>
              </v:shape>
            </w:pict>
          </mc:Fallback>
        </mc:AlternateContent>
      </w:r>
      <w:r>
        <w:rPr>
          <w:noProof/>
          <w:lang w:val="es-AR" w:eastAsia="es-AR"/>
        </w:rPr>
        <mc:AlternateContent>
          <mc:Choice Requires="wpg">
            <w:drawing>
              <wp:anchor distT="0" distB="0" distL="114300" distR="114300" simplePos="0" relativeHeight="251653120" behindDoc="0" locked="0" layoutInCell="1" allowOverlap="1">
                <wp:simplePos x="0" y="0"/>
                <wp:positionH relativeFrom="page">
                  <wp:posOffset>5631815</wp:posOffset>
                </wp:positionH>
                <wp:positionV relativeFrom="page">
                  <wp:posOffset>4582795</wp:posOffset>
                </wp:positionV>
                <wp:extent cx="740410" cy="777240"/>
                <wp:effectExtent l="635" t="0" r="0" b="0"/>
                <wp:wrapNone/>
                <wp:docPr id="389" name="Gru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740410" cy="777240"/>
                          <a:chOff x="10217" y="9410"/>
                          <a:chExt cx="1565" cy="590"/>
                        </a:xfrm>
                      </wpg:grpSpPr>
                      <wps:wsp>
                        <wps:cNvPr id="390" name="AutoShape 8"/>
                        <wps:cNvSpPr>
                          <a:spLocks noChangeArrowheads="1"/>
                        </wps:cNvSpPr>
                        <wps:spPr bwMode="auto">
                          <a:xfrm>
                            <a:off x="11100" y="9410"/>
                            <a:ext cx="682" cy="590"/>
                          </a:xfrm>
                          <a:prstGeom prst="chevron">
                            <a:avLst>
                              <a:gd name="adj" fmla="val 60312"/>
                            </a:avLst>
                          </a:prstGeom>
                          <a:solidFill>
                            <a:srgbClr val="91A6CF"/>
                          </a:solid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391" name="AutoShape 9"/>
                        <wps:cNvSpPr>
                          <a:spLocks noChangeArrowheads="1"/>
                        </wps:cNvSpPr>
                        <wps:spPr bwMode="auto">
                          <a:xfrm>
                            <a:off x="10659" y="9410"/>
                            <a:ext cx="682" cy="590"/>
                          </a:xfrm>
                          <a:prstGeom prst="chevron">
                            <a:avLst>
                              <a:gd name="adj" fmla="val 60312"/>
                            </a:avLst>
                          </a:prstGeom>
                          <a:solidFill>
                            <a:srgbClr val="5B6C9D"/>
                          </a:solid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392" name="AutoShape 10"/>
                        <wps:cNvSpPr>
                          <a:spLocks noChangeArrowheads="1"/>
                        </wps:cNvSpPr>
                        <wps:spPr bwMode="auto">
                          <a:xfrm>
                            <a:off x="10217" y="9410"/>
                            <a:ext cx="682" cy="590"/>
                          </a:xfrm>
                          <a:prstGeom prst="chevron">
                            <a:avLst>
                              <a:gd name="adj" fmla="val 57613"/>
                            </a:avLst>
                          </a:prstGeom>
                          <a:solidFill>
                            <a:srgbClr val="274E9D"/>
                          </a:solid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0EF9F5C" id="Grupo 7" o:spid="_x0000_s1026" style="position:absolute;margin-left:443.45pt;margin-top:360.85pt;width:58.3pt;height:61.2pt;rotation:90;z-index:251653120;mso-position-horizontal-relative:page;mso-position-vertical-relative:page;mso-width-relative:margin;mso-height-relative:margin" coordorigin="10217,9410" coordsize="1565,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">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8" o:spid="_x0000_s1027" type="#_x0000_t55" style="position:absolute;left:11100;top:9410;width:682;height: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" adj="10330" fillcolor="#91a6cf" stroked="f" strokecolor="white"/>
                <v:shape id="AutoShape 9" o:spid="_x0000_s1028" type="#_x0000_t55" style="position:absolute;left:10659;top:9410;width:682;height: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" adj="10330" fillcolor="#5b6c9d" stroked="f" strokecolor="white"/>
                <v:shape id="AutoShape 10" o:spid="_x0000_s1029" type="#_x0000_t55" style="position:absolute;left:10217;top:9410;width:682;height: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" adj="10834" fillcolor="#274e9d" stroked="f" strokecolor="white"/>
                <w10:wrap anchorx="page" anchory="page"/>
              </v:group>
            </w:pict>
          </mc:Fallback>
        </mc:AlternateContent>
      </w:r>
      <w:r>
        <w:rPr>
          <w:noProof/>
          <w:lang w:val="es-AR" w:eastAsia="es-AR"/>
        </w:rPr>
        <mc:AlternateContent>
          <mc:Choice Requires="wps">
            <w:drawing>
              <wp:anchor distT="0" distB="0" distL="114300" distR="114300" simplePos="0" relativeHeight="251655168" behindDoc="0" locked="0" layoutInCell="1" allowOverlap="1">
                <wp:simplePos x="0" y="0"/>
                <wp:positionH relativeFrom="column">
                  <wp:posOffset>-118110</wp:posOffset>
                </wp:positionH>
                <wp:positionV relativeFrom="paragraph">
                  <wp:posOffset>7825740</wp:posOffset>
                </wp:positionV>
                <wp:extent cx="4810125" cy="1057275"/>
                <wp:effectExtent l="0" t="0" r="0" b="0"/>
                <wp:wrapNone/>
                <wp:docPr id="4" name="4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10125" cy="1057275"/>
                        </a:xfrm>
                        <a:prstGeom prst="rect">
                          <a:avLst/>
                        </a:prstGeom>
                        <a:noFill/>
                        <a:ln w="6350">
                          <a:noFill/>
                        </a:ln>
                        <a:effectLst/>
                      </wps:spPr>
                      <wps:txbx>
                        <w:txbxContent>
                          <w:p w:rsidR="00FD5048" w:rsidRPr="001A0D1D" w:rsidRDefault="00FD5048">
                            <w:pPr>
                              <w:rPr>
                                <w:rFonts w:ascii="Cambria" w:eastAsia="Dotum" w:hAnsi="Cambria"/>
                                <w:b/>
                                <w:color w:val="595959"/>
                                <w:sz w:val="16"/>
                                <w:szCs w:val="16"/>
                                <w:lang w:val="es-AR"/>
                              </w:rPr>
                            </w:pPr>
                          </w:p>
                          <w:p w:rsidR="00FD5048" w:rsidRPr="004D1F63" w:rsidRDefault="00FD5048">
                            <w:pPr>
                              <w:rPr>
                                <w:rFonts w:ascii="Cambria" w:eastAsia="Dotum" w:hAnsi="Cambria"/>
                                <w:b/>
                                <w:caps/>
                                <w:color w:val="595959"/>
                                <w:sz w:val="28"/>
                                <w:szCs w:val="28"/>
                                <w:lang w:val="es-AR"/>
                              </w:rPr>
                            </w:pPr>
                            <w:r w:rsidRPr="004D1F63">
                              <w:rPr>
                                <w:rFonts w:ascii="Cambria" w:eastAsia="Dotum" w:hAnsi="Cambria"/>
                                <w:b/>
                                <w:caps/>
                                <w:color w:val="595959"/>
                                <w:sz w:val="28"/>
                                <w:szCs w:val="28"/>
                                <w:lang w:val="es-AR"/>
                              </w:rPr>
                              <w:t>SECRETARÍA DE HACIENDA</w:t>
                            </w:r>
                          </w:p>
                          <w:p w:rsidR="00FD5048" w:rsidRPr="004D1F63" w:rsidRDefault="00FD5048">
                            <w:pPr>
                              <w:rPr>
                                <w:rFonts w:ascii="Cambria" w:eastAsia="Dotum" w:hAnsi="Cambria"/>
                                <w:b/>
                                <w:caps/>
                                <w:color w:val="595959"/>
                                <w:sz w:val="16"/>
                                <w:szCs w:val="16"/>
                                <w:lang w:val="es-AR"/>
                              </w:rPr>
                            </w:pPr>
                          </w:p>
                          <w:p w:rsidR="00FD5048" w:rsidRPr="004D1F63" w:rsidRDefault="00FD5048">
                            <w:pPr>
                              <w:rPr>
                                <w:rFonts w:ascii="Cambria" w:hAnsi="Cambria"/>
                                <w:b/>
                                <w:caps/>
                                <w:color w:val="595959"/>
                                <w:sz w:val="28"/>
                                <w:szCs w:val="28"/>
                                <w:lang w:val="es-AR"/>
                              </w:rPr>
                            </w:pPr>
                            <w:r w:rsidRPr="004D1F63">
                              <w:rPr>
                                <w:rFonts w:ascii="Cambria" w:eastAsia="Dotum" w:hAnsi="Cambria"/>
                                <w:b/>
                                <w:caps/>
                                <w:color w:val="595959"/>
                                <w:sz w:val="28"/>
                                <w:szCs w:val="28"/>
                                <w:lang w:val="es-AR"/>
                              </w:rPr>
                              <w:t xml:space="preserve">MINISTERIO DE </w:t>
                            </w:r>
                            <w:r w:rsidR="004D1F63" w:rsidRPr="004D1F63">
                              <w:rPr>
                                <w:rFonts w:ascii="Cambria" w:eastAsia="Dotum" w:hAnsi="Cambria"/>
                                <w:b/>
                                <w:caps/>
                                <w:color w:val="595959"/>
                                <w:sz w:val="28"/>
                                <w:szCs w:val="28"/>
                                <w:lang w:val="es-AR"/>
                              </w:rPr>
                              <w:t>economía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4 Cuadro de texto" o:spid="_x0000_s1028" type="#_x0000_t202" style="position:absolute;margin-left:-9.3pt;margin-top:616.2pt;width:378.75pt;height:83.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" filled="f" stroked="f" strokeweight=".5pt">
                <v:path arrowok="t"/>
                <v:textbox>
                  <w:txbxContent>
                    <w:p w:rsidR="00FD5048" w:rsidRPr="001A0D1D" w:rsidRDefault="00FD5048">
                      <w:pPr>
                        <w:rPr>
                          <w:rFonts w:ascii="Cambria" w:eastAsia="Dotum" w:hAnsi="Cambria"/>
                          <w:b/>
                          <w:color w:val="595959"/>
                          <w:sz w:val="16"/>
                          <w:szCs w:val="16"/>
                          <w:lang w:val="es-AR"/>
                        </w:rPr>
                      </w:pPr>
                    </w:p>
                    <w:p w:rsidR="00FD5048" w:rsidRPr="004D1F63" w:rsidRDefault="00FD5048">
                      <w:pPr>
                        <w:rPr>
                          <w:rFonts w:ascii="Cambria" w:eastAsia="Dotum" w:hAnsi="Cambria"/>
                          <w:b/>
                          <w:caps/>
                          <w:color w:val="595959"/>
                          <w:sz w:val="28"/>
                          <w:szCs w:val="28"/>
                          <w:lang w:val="es-AR"/>
                        </w:rPr>
                      </w:pPr>
                      <w:r w:rsidRPr="004D1F63">
                        <w:rPr>
                          <w:rFonts w:ascii="Cambria" w:eastAsia="Dotum" w:hAnsi="Cambria"/>
                          <w:b/>
                          <w:caps/>
                          <w:color w:val="595959"/>
                          <w:sz w:val="28"/>
                          <w:szCs w:val="28"/>
                          <w:lang w:val="es-AR"/>
                        </w:rPr>
                        <w:t>SECRETARÍA DE HACIENDA</w:t>
                      </w:r>
                    </w:p>
                    <w:p w:rsidR="00FD5048" w:rsidRPr="004D1F63" w:rsidRDefault="00FD5048">
                      <w:pPr>
                        <w:rPr>
                          <w:rFonts w:ascii="Cambria" w:eastAsia="Dotum" w:hAnsi="Cambria"/>
                          <w:b/>
                          <w:caps/>
                          <w:color w:val="595959"/>
                          <w:sz w:val="16"/>
                          <w:szCs w:val="16"/>
                          <w:lang w:val="es-AR"/>
                        </w:rPr>
                      </w:pPr>
                    </w:p>
                    <w:p w:rsidR="00FD5048" w:rsidRPr="004D1F63" w:rsidRDefault="00FD5048">
                      <w:pPr>
                        <w:rPr>
                          <w:rFonts w:ascii="Cambria" w:hAnsi="Cambria"/>
                          <w:b/>
                          <w:caps/>
                          <w:color w:val="595959"/>
                          <w:sz w:val="28"/>
                          <w:szCs w:val="28"/>
                          <w:lang w:val="es-AR"/>
                        </w:rPr>
                      </w:pPr>
                      <w:r w:rsidRPr="004D1F63">
                        <w:rPr>
                          <w:rFonts w:ascii="Cambria" w:eastAsia="Dotum" w:hAnsi="Cambria"/>
                          <w:b/>
                          <w:caps/>
                          <w:color w:val="595959"/>
                          <w:sz w:val="28"/>
                          <w:szCs w:val="28"/>
                          <w:lang w:val="es-AR"/>
                        </w:rPr>
                        <w:t xml:space="preserve">MINISTERIO DE </w:t>
                      </w:r>
                      <w:r w:rsidR="004D1F63" w:rsidRPr="004D1F63">
                        <w:rPr>
                          <w:rFonts w:ascii="Cambria" w:eastAsia="Dotum" w:hAnsi="Cambria"/>
                          <w:b/>
                          <w:caps/>
                          <w:color w:val="595959"/>
                          <w:sz w:val="28"/>
                          <w:szCs w:val="28"/>
                          <w:lang w:val="es-AR"/>
                        </w:rPr>
                        <w:t>economía</w:t>
                      </w:r>
                    </w:p>
                  </w:txbxContent>
                </v:textbox>
              </v:shape>
            </w:pict>
          </mc:Fallback>
        </mc:AlternateContent>
      </w:r>
    </w:p>
    <w:p w:rsidR="00F0092E" w:rsidRPr="00F0092E" w:rsidRDefault="00F0092E" w:rsidP="00F0092E"/>
    <w:p w:rsidR="0023737F" w:rsidRDefault="0023737F" w:rsidP="00C32085">
      <w:pPr>
        <w:jc w:val="center"/>
        <w:rPr>
          <w:rFonts w:ascii="Calibri" w:hAnsi="Calibri"/>
          <w:b/>
          <w:sz w:val="32"/>
          <w:szCs w:val="32"/>
        </w:rPr>
      </w:pPr>
    </w:p>
    <w:p w:rsidR="0023737F" w:rsidRDefault="0023737F" w:rsidP="00C32085">
      <w:pPr>
        <w:jc w:val="center"/>
        <w:rPr>
          <w:rFonts w:ascii="Calibri" w:hAnsi="Calibri"/>
          <w:b/>
          <w:sz w:val="32"/>
          <w:szCs w:val="32"/>
        </w:rPr>
      </w:pPr>
    </w:p>
    <w:p w:rsidR="0023737F" w:rsidRDefault="0023737F" w:rsidP="00C32085">
      <w:pPr>
        <w:jc w:val="center"/>
        <w:rPr>
          <w:rFonts w:ascii="Calibri" w:hAnsi="Calibri"/>
          <w:b/>
          <w:sz w:val="32"/>
          <w:szCs w:val="32"/>
        </w:rPr>
      </w:pPr>
    </w:p>
    <w:p w:rsidR="00371929" w:rsidRPr="00C32085" w:rsidRDefault="00C32085" w:rsidP="00C32085">
      <w:pPr>
        <w:jc w:val="center"/>
        <w:rPr>
          <w:rFonts w:ascii="Calibri" w:hAnsi="Calibri"/>
          <w:b/>
          <w:sz w:val="32"/>
          <w:szCs w:val="32"/>
        </w:rPr>
      </w:pPr>
      <w:r>
        <w:rPr>
          <w:rFonts w:ascii="Calibri" w:hAnsi="Calibri"/>
          <w:b/>
          <w:sz w:val="32"/>
          <w:szCs w:val="32"/>
        </w:rPr>
        <w:t>INDIC</w:t>
      </w:r>
      <w:r w:rsidR="00F0092E" w:rsidRPr="00C32085">
        <w:rPr>
          <w:rFonts w:ascii="Calibri" w:hAnsi="Calibri"/>
          <w:b/>
          <w:sz w:val="32"/>
          <w:szCs w:val="32"/>
        </w:rPr>
        <w:t>E</w:t>
      </w:r>
    </w:p>
    <w:p w:rsidR="00F0092E" w:rsidRPr="00C32085" w:rsidRDefault="00F0092E" w:rsidP="00C32085">
      <w:pPr>
        <w:jc w:val="center"/>
        <w:rPr>
          <w:rFonts w:ascii="Calibri" w:hAnsi="Calibri"/>
          <w:b/>
          <w:sz w:val="32"/>
          <w:szCs w:val="32"/>
        </w:rPr>
      </w:pPr>
    </w:p>
    <w:p w:rsidR="00310C4F" w:rsidRPr="00D63272" w:rsidRDefault="00EA4BEB" w:rsidP="00D63272">
      <w:pPr>
        <w:pStyle w:val="TDC1"/>
        <w:keepNext/>
        <w:keepLines/>
        <w:tabs>
          <w:tab w:val="clear" w:pos="480"/>
          <w:tab w:val="clear" w:pos="8647"/>
          <w:tab w:val="left" w:pos="960"/>
          <w:tab w:val="right" w:pos="1200"/>
          <w:tab w:val="right" w:leader="dot" w:pos="8789"/>
        </w:tabs>
        <w:spacing w:before="120"/>
        <w:ind w:left="240"/>
        <w:jc w:val="left"/>
        <w:rPr>
          <w:b/>
          <w:i w:val="0"/>
          <w:iCs w:val="0"/>
          <w:sz w:val="32"/>
        </w:rPr>
      </w:pPr>
      <w:r w:rsidRPr="00D63272">
        <w:rPr>
          <w:b/>
          <w:i w:val="0"/>
          <w:iCs w:val="0"/>
          <w:noProof w:val="0"/>
          <w:sz w:val="32"/>
        </w:rPr>
        <w:fldChar w:fldCharType="begin"/>
      </w:r>
      <w:r w:rsidR="00371929" w:rsidRPr="00D63272">
        <w:rPr>
          <w:b/>
          <w:i w:val="0"/>
          <w:iCs w:val="0"/>
          <w:noProof w:val="0"/>
          <w:sz w:val="32"/>
        </w:rPr>
        <w:instrText xml:space="preserve"> TOC \o "1-3" \h \z \u </w:instrText>
      </w:r>
      <w:r w:rsidRPr="00D63272">
        <w:rPr>
          <w:b/>
          <w:i w:val="0"/>
          <w:iCs w:val="0"/>
          <w:noProof w:val="0"/>
          <w:sz w:val="32"/>
        </w:rPr>
        <w:fldChar w:fldCharType="separate"/>
      </w:r>
      <w:hyperlink w:anchor="_Toc99450863" w:history="1">
        <w:r w:rsidR="00310C4F" w:rsidRPr="00D63272">
          <w:rPr>
            <w:b/>
            <w:i w:val="0"/>
            <w:iCs w:val="0"/>
            <w:sz w:val="32"/>
          </w:rPr>
          <w:t>1. INTRODUCCION</w:t>
        </w:r>
        <w:r w:rsidR="00310C4F" w:rsidRPr="00D63272">
          <w:rPr>
            <w:b/>
            <w:i w:val="0"/>
            <w:iCs w:val="0"/>
            <w:webHidden/>
            <w:sz w:val="32"/>
          </w:rPr>
          <w:tab/>
        </w:r>
        <w:r w:rsidR="00310C4F" w:rsidRPr="00D63272">
          <w:rPr>
            <w:b/>
            <w:i w:val="0"/>
            <w:iCs w:val="0"/>
            <w:webHidden/>
            <w:sz w:val="32"/>
          </w:rPr>
          <w:fldChar w:fldCharType="begin"/>
        </w:r>
        <w:r w:rsidR="00310C4F" w:rsidRPr="00D63272">
          <w:rPr>
            <w:b/>
            <w:i w:val="0"/>
            <w:iCs w:val="0"/>
            <w:webHidden/>
            <w:sz w:val="32"/>
          </w:rPr>
          <w:instrText xml:space="preserve"> PAGEREF _Toc99450863 \h </w:instrText>
        </w:r>
        <w:r w:rsidR="00310C4F" w:rsidRPr="00D63272">
          <w:rPr>
            <w:b/>
            <w:i w:val="0"/>
            <w:iCs w:val="0"/>
            <w:webHidden/>
            <w:sz w:val="32"/>
          </w:rPr>
        </w:r>
        <w:r w:rsidR="00310C4F" w:rsidRPr="00D63272">
          <w:rPr>
            <w:b/>
            <w:i w:val="0"/>
            <w:iCs w:val="0"/>
            <w:webHidden/>
            <w:sz w:val="32"/>
          </w:rPr>
          <w:fldChar w:fldCharType="separate"/>
        </w:r>
        <w:r w:rsidR="000211ED">
          <w:rPr>
            <w:b/>
            <w:i w:val="0"/>
            <w:iCs w:val="0"/>
            <w:webHidden/>
            <w:sz w:val="32"/>
          </w:rPr>
          <w:t>2</w:t>
        </w:r>
        <w:r w:rsidR="00310C4F" w:rsidRPr="00D63272">
          <w:rPr>
            <w:b/>
            <w:i w:val="0"/>
            <w:iCs w:val="0"/>
            <w:webHidden/>
            <w:sz w:val="32"/>
          </w:rPr>
          <w:fldChar w:fldCharType="end"/>
        </w:r>
      </w:hyperlink>
    </w:p>
    <w:p w:rsidR="00310C4F" w:rsidRPr="00D63272" w:rsidRDefault="00310C4F" w:rsidP="00D63272">
      <w:pPr>
        <w:pStyle w:val="TDC1"/>
        <w:keepNext/>
        <w:keepLines/>
        <w:tabs>
          <w:tab w:val="clear" w:pos="480"/>
          <w:tab w:val="clear" w:pos="8647"/>
          <w:tab w:val="left" w:pos="960"/>
          <w:tab w:val="right" w:pos="1200"/>
          <w:tab w:val="right" w:leader="dot" w:pos="8789"/>
        </w:tabs>
        <w:spacing w:before="120"/>
        <w:ind w:left="240"/>
        <w:jc w:val="left"/>
        <w:rPr>
          <w:b/>
          <w:i w:val="0"/>
          <w:iCs w:val="0"/>
          <w:sz w:val="32"/>
        </w:rPr>
      </w:pPr>
      <w:hyperlink w:anchor="_Toc99450864" w:history="1">
        <w:r w:rsidRPr="00D63272">
          <w:rPr>
            <w:b/>
            <w:i w:val="0"/>
            <w:iCs w:val="0"/>
            <w:sz w:val="32"/>
          </w:rPr>
          <w:t>2. CUARTO TRIMESTRE 2020</w:t>
        </w:r>
        <w:r w:rsidRPr="00D63272">
          <w:rPr>
            <w:b/>
            <w:i w:val="0"/>
            <w:iCs w:val="0"/>
            <w:webHidden/>
            <w:sz w:val="32"/>
          </w:rPr>
          <w:tab/>
        </w:r>
        <w:r w:rsidRPr="00D63272">
          <w:rPr>
            <w:b/>
            <w:i w:val="0"/>
            <w:iCs w:val="0"/>
            <w:webHidden/>
            <w:sz w:val="32"/>
          </w:rPr>
          <w:fldChar w:fldCharType="begin"/>
        </w:r>
        <w:r w:rsidRPr="00D63272">
          <w:rPr>
            <w:b/>
            <w:i w:val="0"/>
            <w:iCs w:val="0"/>
            <w:webHidden/>
            <w:sz w:val="32"/>
          </w:rPr>
          <w:instrText xml:space="preserve"> PAGEREF _Toc99450864 \h </w:instrText>
        </w:r>
        <w:r w:rsidRPr="00D63272">
          <w:rPr>
            <w:b/>
            <w:i w:val="0"/>
            <w:iCs w:val="0"/>
            <w:webHidden/>
            <w:sz w:val="32"/>
          </w:rPr>
        </w:r>
        <w:r w:rsidRPr="00D63272">
          <w:rPr>
            <w:b/>
            <w:i w:val="0"/>
            <w:iCs w:val="0"/>
            <w:webHidden/>
            <w:sz w:val="32"/>
          </w:rPr>
          <w:fldChar w:fldCharType="separate"/>
        </w:r>
        <w:r w:rsidR="000211ED">
          <w:rPr>
            <w:b/>
            <w:i w:val="0"/>
            <w:iCs w:val="0"/>
            <w:webHidden/>
            <w:sz w:val="32"/>
          </w:rPr>
          <w:t>3</w:t>
        </w:r>
        <w:r w:rsidRPr="00D63272">
          <w:rPr>
            <w:b/>
            <w:i w:val="0"/>
            <w:iCs w:val="0"/>
            <w:webHidden/>
            <w:sz w:val="32"/>
          </w:rPr>
          <w:fldChar w:fldCharType="end"/>
        </w:r>
      </w:hyperlink>
    </w:p>
    <w:p w:rsidR="00310C4F" w:rsidRPr="00D63272" w:rsidRDefault="00310C4F" w:rsidP="00D63272">
      <w:pPr>
        <w:pStyle w:val="TDC1"/>
        <w:keepNext/>
        <w:keepLines/>
        <w:tabs>
          <w:tab w:val="clear" w:pos="480"/>
          <w:tab w:val="clear" w:pos="8647"/>
          <w:tab w:val="left" w:pos="960"/>
          <w:tab w:val="right" w:pos="1200"/>
          <w:tab w:val="right" w:leader="dot" w:pos="8789"/>
        </w:tabs>
        <w:spacing w:before="120"/>
        <w:ind w:left="240"/>
        <w:jc w:val="left"/>
        <w:rPr>
          <w:b/>
          <w:i w:val="0"/>
          <w:iCs w:val="0"/>
          <w:sz w:val="32"/>
        </w:rPr>
      </w:pPr>
      <w:hyperlink w:anchor="_Toc99450865" w:history="1">
        <w:r w:rsidRPr="00D63272">
          <w:rPr>
            <w:b/>
            <w:i w:val="0"/>
            <w:iCs w:val="0"/>
            <w:sz w:val="32"/>
          </w:rPr>
          <w:t>3. RESULTADO ACUMULADO AL CUARTO TRIMESTRE 2020</w:t>
        </w:r>
        <w:r w:rsidRPr="00D63272">
          <w:rPr>
            <w:b/>
            <w:i w:val="0"/>
            <w:iCs w:val="0"/>
            <w:webHidden/>
            <w:sz w:val="32"/>
          </w:rPr>
          <w:tab/>
        </w:r>
        <w:r w:rsidRPr="00D63272">
          <w:rPr>
            <w:b/>
            <w:i w:val="0"/>
            <w:iCs w:val="0"/>
            <w:webHidden/>
            <w:sz w:val="32"/>
          </w:rPr>
          <w:fldChar w:fldCharType="begin"/>
        </w:r>
        <w:r w:rsidRPr="00D63272">
          <w:rPr>
            <w:b/>
            <w:i w:val="0"/>
            <w:iCs w:val="0"/>
            <w:webHidden/>
            <w:sz w:val="32"/>
          </w:rPr>
          <w:instrText xml:space="preserve"> PAGEREF _Toc99450865 \h </w:instrText>
        </w:r>
        <w:r w:rsidRPr="00D63272">
          <w:rPr>
            <w:b/>
            <w:i w:val="0"/>
            <w:iCs w:val="0"/>
            <w:webHidden/>
            <w:sz w:val="32"/>
          </w:rPr>
        </w:r>
        <w:r w:rsidRPr="00D63272">
          <w:rPr>
            <w:b/>
            <w:i w:val="0"/>
            <w:iCs w:val="0"/>
            <w:webHidden/>
            <w:sz w:val="32"/>
          </w:rPr>
          <w:fldChar w:fldCharType="separate"/>
        </w:r>
        <w:r w:rsidR="000211ED">
          <w:rPr>
            <w:b/>
            <w:i w:val="0"/>
            <w:iCs w:val="0"/>
            <w:webHidden/>
            <w:sz w:val="32"/>
          </w:rPr>
          <w:t>4</w:t>
        </w:r>
        <w:r w:rsidRPr="00D63272">
          <w:rPr>
            <w:b/>
            <w:i w:val="0"/>
            <w:iCs w:val="0"/>
            <w:webHidden/>
            <w:sz w:val="32"/>
          </w:rPr>
          <w:fldChar w:fldCharType="end"/>
        </w:r>
      </w:hyperlink>
    </w:p>
    <w:p w:rsidR="00310C4F" w:rsidRPr="00D63272" w:rsidRDefault="00310C4F" w:rsidP="00D63272">
      <w:pPr>
        <w:pStyle w:val="TDC1"/>
        <w:keepNext/>
        <w:keepLines/>
        <w:tabs>
          <w:tab w:val="clear" w:pos="480"/>
          <w:tab w:val="clear" w:pos="8647"/>
          <w:tab w:val="left" w:pos="960"/>
          <w:tab w:val="right" w:pos="1200"/>
          <w:tab w:val="right" w:leader="dot" w:pos="8789"/>
        </w:tabs>
        <w:spacing w:before="120"/>
        <w:ind w:left="240"/>
        <w:jc w:val="left"/>
        <w:rPr>
          <w:b/>
          <w:i w:val="0"/>
          <w:iCs w:val="0"/>
          <w:sz w:val="32"/>
        </w:rPr>
      </w:pPr>
      <w:hyperlink w:anchor="_Toc99450866" w:history="1">
        <w:r w:rsidRPr="00D63272">
          <w:rPr>
            <w:b/>
            <w:i w:val="0"/>
            <w:iCs w:val="0"/>
            <w:sz w:val="32"/>
          </w:rPr>
          <w:t>4. RECURSOS</w:t>
        </w:r>
        <w:r w:rsidRPr="00D63272">
          <w:rPr>
            <w:b/>
            <w:i w:val="0"/>
            <w:iCs w:val="0"/>
            <w:webHidden/>
            <w:sz w:val="32"/>
          </w:rPr>
          <w:tab/>
        </w:r>
        <w:r w:rsidRPr="00D63272">
          <w:rPr>
            <w:b/>
            <w:i w:val="0"/>
            <w:iCs w:val="0"/>
            <w:webHidden/>
            <w:sz w:val="32"/>
          </w:rPr>
          <w:fldChar w:fldCharType="begin"/>
        </w:r>
        <w:r w:rsidRPr="00D63272">
          <w:rPr>
            <w:b/>
            <w:i w:val="0"/>
            <w:iCs w:val="0"/>
            <w:webHidden/>
            <w:sz w:val="32"/>
          </w:rPr>
          <w:instrText xml:space="preserve"> PAGEREF _Toc99450866 \h </w:instrText>
        </w:r>
        <w:r w:rsidRPr="00D63272">
          <w:rPr>
            <w:b/>
            <w:i w:val="0"/>
            <w:iCs w:val="0"/>
            <w:webHidden/>
            <w:sz w:val="32"/>
          </w:rPr>
        </w:r>
        <w:r w:rsidRPr="00D63272">
          <w:rPr>
            <w:b/>
            <w:i w:val="0"/>
            <w:iCs w:val="0"/>
            <w:webHidden/>
            <w:sz w:val="32"/>
          </w:rPr>
          <w:fldChar w:fldCharType="separate"/>
        </w:r>
        <w:r w:rsidR="000211ED">
          <w:rPr>
            <w:b/>
            <w:i w:val="0"/>
            <w:iCs w:val="0"/>
            <w:webHidden/>
            <w:sz w:val="32"/>
          </w:rPr>
          <w:t>5</w:t>
        </w:r>
        <w:r w:rsidRPr="00D63272">
          <w:rPr>
            <w:b/>
            <w:i w:val="0"/>
            <w:iCs w:val="0"/>
            <w:webHidden/>
            <w:sz w:val="32"/>
          </w:rPr>
          <w:fldChar w:fldCharType="end"/>
        </w:r>
      </w:hyperlink>
    </w:p>
    <w:p w:rsidR="00310C4F" w:rsidRPr="00D63272" w:rsidRDefault="00310C4F" w:rsidP="00D63272">
      <w:pPr>
        <w:pStyle w:val="TDC1"/>
        <w:keepNext/>
        <w:keepLines/>
        <w:tabs>
          <w:tab w:val="clear" w:pos="480"/>
          <w:tab w:val="clear" w:pos="8647"/>
          <w:tab w:val="left" w:pos="960"/>
          <w:tab w:val="right" w:pos="1200"/>
          <w:tab w:val="right" w:leader="dot" w:pos="8789"/>
        </w:tabs>
        <w:spacing w:before="120"/>
        <w:ind w:left="240"/>
        <w:jc w:val="left"/>
        <w:rPr>
          <w:b/>
          <w:i w:val="0"/>
          <w:iCs w:val="0"/>
          <w:sz w:val="32"/>
        </w:rPr>
      </w:pPr>
      <w:hyperlink w:anchor="_Toc99450867" w:history="1">
        <w:r w:rsidRPr="00D63272">
          <w:rPr>
            <w:b/>
            <w:i w:val="0"/>
            <w:iCs w:val="0"/>
            <w:sz w:val="32"/>
          </w:rPr>
          <w:t>5. GASTOS</w:t>
        </w:r>
        <w:r w:rsidRPr="00D63272">
          <w:rPr>
            <w:b/>
            <w:i w:val="0"/>
            <w:iCs w:val="0"/>
            <w:webHidden/>
            <w:sz w:val="32"/>
          </w:rPr>
          <w:tab/>
        </w:r>
        <w:r w:rsidRPr="00D63272">
          <w:rPr>
            <w:b/>
            <w:i w:val="0"/>
            <w:iCs w:val="0"/>
            <w:webHidden/>
            <w:sz w:val="32"/>
          </w:rPr>
          <w:fldChar w:fldCharType="begin"/>
        </w:r>
        <w:r w:rsidRPr="00D63272">
          <w:rPr>
            <w:b/>
            <w:i w:val="0"/>
            <w:iCs w:val="0"/>
            <w:webHidden/>
            <w:sz w:val="32"/>
          </w:rPr>
          <w:instrText xml:space="preserve"> PAGEREF _Toc99450867 \h </w:instrText>
        </w:r>
        <w:r w:rsidRPr="00D63272">
          <w:rPr>
            <w:b/>
            <w:i w:val="0"/>
            <w:iCs w:val="0"/>
            <w:webHidden/>
            <w:sz w:val="32"/>
          </w:rPr>
        </w:r>
        <w:r w:rsidRPr="00D63272">
          <w:rPr>
            <w:b/>
            <w:i w:val="0"/>
            <w:iCs w:val="0"/>
            <w:webHidden/>
            <w:sz w:val="32"/>
          </w:rPr>
          <w:fldChar w:fldCharType="separate"/>
        </w:r>
        <w:r w:rsidR="000211ED">
          <w:rPr>
            <w:b/>
            <w:i w:val="0"/>
            <w:iCs w:val="0"/>
            <w:webHidden/>
            <w:sz w:val="32"/>
          </w:rPr>
          <w:t>9</w:t>
        </w:r>
        <w:r w:rsidRPr="00D63272">
          <w:rPr>
            <w:b/>
            <w:i w:val="0"/>
            <w:iCs w:val="0"/>
            <w:webHidden/>
            <w:sz w:val="32"/>
          </w:rPr>
          <w:fldChar w:fldCharType="end"/>
        </w:r>
      </w:hyperlink>
    </w:p>
    <w:p w:rsidR="00310C4F" w:rsidRPr="00D63272" w:rsidRDefault="00310C4F" w:rsidP="00D63272">
      <w:pPr>
        <w:pStyle w:val="TDC1"/>
        <w:keepNext/>
        <w:keepLines/>
        <w:tabs>
          <w:tab w:val="clear" w:pos="480"/>
          <w:tab w:val="clear" w:pos="8647"/>
          <w:tab w:val="left" w:pos="960"/>
          <w:tab w:val="right" w:pos="1200"/>
          <w:tab w:val="right" w:leader="dot" w:pos="8789"/>
        </w:tabs>
        <w:spacing w:before="120"/>
        <w:ind w:left="426"/>
        <w:jc w:val="left"/>
        <w:rPr>
          <w:b/>
          <w:i w:val="0"/>
          <w:iCs w:val="0"/>
          <w:sz w:val="26"/>
          <w:szCs w:val="26"/>
        </w:rPr>
      </w:pPr>
      <w:hyperlink w:anchor="_Toc99450868" w:history="1">
        <w:r w:rsidRPr="00D63272">
          <w:rPr>
            <w:b/>
            <w:i w:val="0"/>
            <w:iCs w:val="0"/>
            <w:sz w:val="26"/>
            <w:szCs w:val="26"/>
          </w:rPr>
          <w:t>5.1. Análisis del Gasto por Clasificación Económica y por Objeto</w:t>
        </w:r>
        <w:r w:rsidRPr="00D63272">
          <w:rPr>
            <w:b/>
            <w:i w:val="0"/>
            <w:iCs w:val="0"/>
            <w:webHidden/>
            <w:sz w:val="26"/>
            <w:szCs w:val="26"/>
          </w:rPr>
          <w:tab/>
        </w:r>
        <w:r w:rsidRPr="00D63272">
          <w:rPr>
            <w:b/>
            <w:i w:val="0"/>
            <w:iCs w:val="0"/>
            <w:webHidden/>
            <w:sz w:val="26"/>
            <w:szCs w:val="26"/>
          </w:rPr>
          <w:fldChar w:fldCharType="begin"/>
        </w:r>
        <w:r w:rsidRPr="00D63272">
          <w:rPr>
            <w:b/>
            <w:i w:val="0"/>
            <w:iCs w:val="0"/>
            <w:webHidden/>
            <w:sz w:val="26"/>
            <w:szCs w:val="26"/>
          </w:rPr>
          <w:instrText xml:space="preserve"> PAGEREF _Toc99450868 \h </w:instrText>
        </w:r>
        <w:r w:rsidRPr="00D63272">
          <w:rPr>
            <w:b/>
            <w:i w:val="0"/>
            <w:iCs w:val="0"/>
            <w:webHidden/>
            <w:sz w:val="26"/>
            <w:szCs w:val="26"/>
          </w:rPr>
        </w:r>
        <w:r w:rsidRPr="00D63272">
          <w:rPr>
            <w:b/>
            <w:i w:val="0"/>
            <w:iCs w:val="0"/>
            <w:webHidden/>
            <w:sz w:val="26"/>
            <w:szCs w:val="26"/>
          </w:rPr>
          <w:fldChar w:fldCharType="separate"/>
        </w:r>
        <w:r w:rsidR="000211ED">
          <w:rPr>
            <w:b/>
            <w:i w:val="0"/>
            <w:iCs w:val="0"/>
            <w:webHidden/>
            <w:sz w:val="26"/>
            <w:szCs w:val="26"/>
          </w:rPr>
          <w:t>9</w:t>
        </w:r>
        <w:r w:rsidRPr="00D63272">
          <w:rPr>
            <w:b/>
            <w:i w:val="0"/>
            <w:iCs w:val="0"/>
            <w:webHidden/>
            <w:sz w:val="26"/>
            <w:szCs w:val="26"/>
          </w:rPr>
          <w:fldChar w:fldCharType="end"/>
        </w:r>
      </w:hyperlink>
    </w:p>
    <w:p w:rsidR="00310C4F" w:rsidRPr="00D63272" w:rsidRDefault="00310C4F" w:rsidP="00D63272">
      <w:pPr>
        <w:pStyle w:val="TDC1"/>
        <w:keepNext/>
        <w:keepLines/>
        <w:tabs>
          <w:tab w:val="clear" w:pos="480"/>
          <w:tab w:val="clear" w:pos="8647"/>
          <w:tab w:val="left" w:pos="960"/>
          <w:tab w:val="right" w:pos="1200"/>
          <w:tab w:val="right" w:leader="dot" w:pos="8789"/>
        </w:tabs>
        <w:spacing w:before="120"/>
        <w:ind w:left="426"/>
        <w:jc w:val="left"/>
        <w:rPr>
          <w:b/>
          <w:i w:val="0"/>
          <w:iCs w:val="0"/>
          <w:sz w:val="26"/>
          <w:szCs w:val="26"/>
        </w:rPr>
      </w:pPr>
      <w:hyperlink w:anchor="_Toc99450869" w:history="1">
        <w:r w:rsidRPr="00D63272">
          <w:rPr>
            <w:b/>
            <w:i w:val="0"/>
            <w:iCs w:val="0"/>
            <w:sz w:val="26"/>
            <w:szCs w:val="26"/>
          </w:rPr>
          <w:t>5.2. Análisis del Gasto Clasificado por Finalidad y Función</w:t>
        </w:r>
        <w:r w:rsidRPr="00D63272">
          <w:rPr>
            <w:b/>
            <w:i w:val="0"/>
            <w:iCs w:val="0"/>
            <w:webHidden/>
            <w:sz w:val="26"/>
            <w:szCs w:val="26"/>
          </w:rPr>
          <w:tab/>
        </w:r>
        <w:r w:rsidRPr="00D63272">
          <w:rPr>
            <w:b/>
            <w:i w:val="0"/>
            <w:iCs w:val="0"/>
            <w:webHidden/>
            <w:sz w:val="26"/>
            <w:szCs w:val="26"/>
          </w:rPr>
          <w:fldChar w:fldCharType="begin"/>
        </w:r>
        <w:r w:rsidRPr="00D63272">
          <w:rPr>
            <w:b/>
            <w:i w:val="0"/>
            <w:iCs w:val="0"/>
            <w:webHidden/>
            <w:sz w:val="26"/>
            <w:szCs w:val="26"/>
          </w:rPr>
          <w:instrText xml:space="preserve"> PAGEREF _Toc99450869 \h </w:instrText>
        </w:r>
        <w:r w:rsidRPr="00D63272">
          <w:rPr>
            <w:b/>
            <w:i w:val="0"/>
            <w:iCs w:val="0"/>
            <w:webHidden/>
            <w:sz w:val="26"/>
            <w:szCs w:val="26"/>
          </w:rPr>
        </w:r>
        <w:r w:rsidRPr="00D63272">
          <w:rPr>
            <w:b/>
            <w:i w:val="0"/>
            <w:iCs w:val="0"/>
            <w:webHidden/>
            <w:sz w:val="26"/>
            <w:szCs w:val="26"/>
          </w:rPr>
          <w:fldChar w:fldCharType="separate"/>
        </w:r>
        <w:r w:rsidR="000211ED">
          <w:rPr>
            <w:b/>
            <w:i w:val="0"/>
            <w:iCs w:val="0"/>
            <w:webHidden/>
            <w:sz w:val="26"/>
            <w:szCs w:val="26"/>
          </w:rPr>
          <w:t>13</w:t>
        </w:r>
        <w:r w:rsidRPr="00D63272">
          <w:rPr>
            <w:b/>
            <w:i w:val="0"/>
            <w:iCs w:val="0"/>
            <w:webHidden/>
            <w:sz w:val="26"/>
            <w:szCs w:val="26"/>
          </w:rPr>
          <w:fldChar w:fldCharType="end"/>
        </w:r>
      </w:hyperlink>
    </w:p>
    <w:p w:rsidR="00310C4F" w:rsidRPr="00D63272" w:rsidRDefault="00310C4F" w:rsidP="00D63272">
      <w:pPr>
        <w:pStyle w:val="TDC1"/>
        <w:keepNext/>
        <w:keepLines/>
        <w:tabs>
          <w:tab w:val="clear" w:pos="480"/>
          <w:tab w:val="clear" w:pos="8647"/>
          <w:tab w:val="left" w:pos="960"/>
          <w:tab w:val="right" w:pos="1200"/>
          <w:tab w:val="right" w:leader="dot" w:pos="8789"/>
        </w:tabs>
        <w:spacing w:before="120"/>
        <w:ind w:left="240"/>
        <w:jc w:val="left"/>
        <w:rPr>
          <w:b/>
          <w:i w:val="0"/>
          <w:iCs w:val="0"/>
          <w:sz w:val="32"/>
        </w:rPr>
      </w:pPr>
      <w:hyperlink w:anchor="_Toc99450870" w:history="1">
        <w:r w:rsidRPr="00D63272">
          <w:rPr>
            <w:b/>
            <w:i w:val="0"/>
            <w:iCs w:val="0"/>
            <w:sz w:val="32"/>
          </w:rPr>
          <w:t>6. EVOLUCION DE LOS PRINCIPALES AGREGADOS FISCALES EN RELACIÓN AL PRODUCTO INTERNO BRUTO</w:t>
        </w:r>
        <w:r w:rsidRPr="00D63272">
          <w:rPr>
            <w:b/>
            <w:i w:val="0"/>
            <w:iCs w:val="0"/>
            <w:webHidden/>
            <w:sz w:val="32"/>
          </w:rPr>
          <w:tab/>
        </w:r>
        <w:r w:rsidRPr="00D63272">
          <w:rPr>
            <w:b/>
            <w:i w:val="0"/>
            <w:iCs w:val="0"/>
            <w:webHidden/>
            <w:sz w:val="32"/>
          </w:rPr>
          <w:fldChar w:fldCharType="begin"/>
        </w:r>
        <w:r w:rsidRPr="00D63272">
          <w:rPr>
            <w:b/>
            <w:i w:val="0"/>
            <w:iCs w:val="0"/>
            <w:webHidden/>
            <w:sz w:val="32"/>
          </w:rPr>
          <w:instrText xml:space="preserve"> PAGEREF _Toc99450870 \h </w:instrText>
        </w:r>
        <w:r w:rsidRPr="00D63272">
          <w:rPr>
            <w:b/>
            <w:i w:val="0"/>
            <w:iCs w:val="0"/>
            <w:webHidden/>
            <w:sz w:val="32"/>
          </w:rPr>
        </w:r>
        <w:r w:rsidRPr="00D63272">
          <w:rPr>
            <w:b/>
            <w:i w:val="0"/>
            <w:iCs w:val="0"/>
            <w:webHidden/>
            <w:sz w:val="32"/>
          </w:rPr>
          <w:fldChar w:fldCharType="separate"/>
        </w:r>
        <w:r w:rsidR="000211ED">
          <w:rPr>
            <w:b/>
            <w:i w:val="0"/>
            <w:iCs w:val="0"/>
            <w:webHidden/>
            <w:sz w:val="32"/>
          </w:rPr>
          <w:t>15</w:t>
        </w:r>
        <w:r w:rsidRPr="00D63272">
          <w:rPr>
            <w:b/>
            <w:i w:val="0"/>
            <w:iCs w:val="0"/>
            <w:webHidden/>
            <w:sz w:val="32"/>
          </w:rPr>
          <w:fldChar w:fldCharType="end"/>
        </w:r>
      </w:hyperlink>
    </w:p>
    <w:p w:rsidR="00310C4F" w:rsidRPr="00D63272" w:rsidRDefault="00310C4F" w:rsidP="00D63272">
      <w:pPr>
        <w:pStyle w:val="TDC1"/>
        <w:keepNext/>
        <w:keepLines/>
        <w:tabs>
          <w:tab w:val="clear" w:pos="480"/>
          <w:tab w:val="clear" w:pos="8647"/>
          <w:tab w:val="left" w:pos="960"/>
          <w:tab w:val="right" w:pos="1200"/>
          <w:tab w:val="right" w:leader="dot" w:pos="8789"/>
        </w:tabs>
        <w:spacing w:before="120"/>
        <w:ind w:left="240"/>
        <w:jc w:val="left"/>
        <w:rPr>
          <w:b/>
          <w:i w:val="0"/>
          <w:iCs w:val="0"/>
          <w:sz w:val="32"/>
        </w:rPr>
      </w:pPr>
      <w:hyperlink w:anchor="_Toc99450871" w:history="1">
        <w:r w:rsidRPr="00D63272">
          <w:rPr>
            <w:b/>
            <w:i w:val="0"/>
            <w:iCs w:val="0"/>
            <w:sz w:val="32"/>
          </w:rPr>
          <w:t>ANEXO: Esquema AIF</w:t>
        </w:r>
        <w:r w:rsidRPr="00D63272">
          <w:rPr>
            <w:b/>
            <w:i w:val="0"/>
            <w:iCs w:val="0"/>
            <w:webHidden/>
            <w:sz w:val="32"/>
          </w:rPr>
          <w:tab/>
        </w:r>
        <w:r w:rsidRPr="00D63272">
          <w:rPr>
            <w:b/>
            <w:i w:val="0"/>
            <w:iCs w:val="0"/>
            <w:webHidden/>
            <w:sz w:val="32"/>
          </w:rPr>
          <w:fldChar w:fldCharType="begin"/>
        </w:r>
        <w:r w:rsidRPr="00D63272">
          <w:rPr>
            <w:b/>
            <w:i w:val="0"/>
            <w:iCs w:val="0"/>
            <w:webHidden/>
            <w:sz w:val="32"/>
          </w:rPr>
          <w:instrText xml:space="preserve"> PAGEREF _Toc99450871 \h </w:instrText>
        </w:r>
        <w:r w:rsidRPr="00D63272">
          <w:rPr>
            <w:b/>
            <w:i w:val="0"/>
            <w:iCs w:val="0"/>
            <w:webHidden/>
            <w:sz w:val="32"/>
          </w:rPr>
        </w:r>
        <w:r w:rsidRPr="00D63272">
          <w:rPr>
            <w:b/>
            <w:i w:val="0"/>
            <w:iCs w:val="0"/>
            <w:webHidden/>
            <w:sz w:val="32"/>
          </w:rPr>
          <w:fldChar w:fldCharType="separate"/>
        </w:r>
        <w:r w:rsidR="000211ED">
          <w:rPr>
            <w:b/>
            <w:i w:val="0"/>
            <w:iCs w:val="0"/>
            <w:webHidden/>
            <w:sz w:val="32"/>
          </w:rPr>
          <w:t>18</w:t>
        </w:r>
        <w:r w:rsidRPr="00D63272">
          <w:rPr>
            <w:b/>
            <w:i w:val="0"/>
            <w:iCs w:val="0"/>
            <w:webHidden/>
            <w:sz w:val="32"/>
          </w:rPr>
          <w:fldChar w:fldCharType="end"/>
        </w:r>
      </w:hyperlink>
    </w:p>
    <w:p w:rsidR="00371929" w:rsidRPr="00D63272" w:rsidRDefault="00EA4BEB" w:rsidP="00D63272">
      <w:pPr>
        <w:pStyle w:val="TDC1"/>
        <w:keepNext/>
        <w:keepLines/>
        <w:tabs>
          <w:tab w:val="clear" w:pos="480"/>
          <w:tab w:val="clear" w:pos="8647"/>
          <w:tab w:val="left" w:pos="960"/>
          <w:tab w:val="right" w:pos="1200"/>
          <w:tab w:val="right" w:leader="dot" w:pos="8789"/>
        </w:tabs>
        <w:spacing w:before="120"/>
        <w:ind w:left="240"/>
        <w:jc w:val="left"/>
        <w:rPr>
          <w:b/>
          <w:sz w:val="32"/>
          <w:szCs w:val="32"/>
        </w:rPr>
        <w:sectPr w:rsidR="00371929" w:rsidRPr="00D63272" w:rsidSect="00B64D16">
          <w:pgSz w:w="11907" w:h="16839" w:code="9"/>
          <w:pgMar w:top="1417" w:right="1559" w:bottom="1417" w:left="1701" w:header="567" w:footer="567" w:gutter="0"/>
          <w:pgNumType w:start="1"/>
          <w:cols w:space="708"/>
          <w:titlePg/>
          <w:docGrid w:linePitch="360"/>
        </w:sectPr>
      </w:pPr>
      <w:r w:rsidRPr="00D63272">
        <w:rPr>
          <w:b/>
          <w:i w:val="0"/>
          <w:iCs w:val="0"/>
          <w:noProof w:val="0"/>
          <w:sz w:val="32"/>
        </w:rPr>
        <w:fldChar w:fldCharType="end"/>
      </w:r>
    </w:p>
    <w:p w:rsidR="00371929" w:rsidRPr="00C668B6" w:rsidRDefault="00C32085" w:rsidP="00C668B6">
      <w:pPr>
        <w:pStyle w:val="Ttulo1"/>
        <w:numPr>
          <w:ilvl w:val="0"/>
          <w:numId w:val="0"/>
        </w:numPr>
        <w:pBdr>
          <w:bottom w:val="single" w:sz="4" w:space="1" w:color="auto"/>
        </w:pBdr>
        <w:suppressAutoHyphens/>
        <w:spacing w:before="0" w:after="0"/>
        <w:rPr>
          <w:rFonts w:ascii="Calibri" w:hAnsi="Calibri" w:cs="Times New Roman"/>
          <w:color w:val="595959"/>
          <w:sz w:val="28"/>
          <w:szCs w:val="28"/>
        </w:rPr>
      </w:pPr>
      <w:bookmarkStart w:id="1" w:name="_Toc99450863"/>
      <w:r w:rsidRPr="00C668B6">
        <w:rPr>
          <w:rFonts w:ascii="Calibri" w:hAnsi="Calibri" w:cs="Times New Roman"/>
          <w:color w:val="595959"/>
          <w:sz w:val="28"/>
          <w:szCs w:val="28"/>
        </w:rPr>
        <w:lastRenderedPageBreak/>
        <w:t>1</w:t>
      </w:r>
      <w:r w:rsidR="00184B79" w:rsidRPr="00C668B6">
        <w:rPr>
          <w:rFonts w:ascii="Calibri" w:hAnsi="Calibri" w:cs="Times New Roman"/>
          <w:color w:val="595959"/>
          <w:sz w:val="28"/>
          <w:szCs w:val="28"/>
        </w:rPr>
        <w:t xml:space="preserve">. </w:t>
      </w:r>
      <w:r w:rsidR="00A46EB3" w:rsidRPr="00C668B6">
        <w:rPr>
          <w:rFonts w:ascii="Calibri" w:hAnsi="Calibri" w:cs="Times New Roman"/>
          <w:color w:val="595959"/>
          <w:sz w:val="28"/>
          <w:szCs w:val="28"/>
        </w:rPr>
        <w:t>INTRODUCCION</w:t>
      </w:r>
      <w:bookmarkEnd w:id="1"/>
    </w:p>
    <w:p w:rsidR="00B51C9A" w:rsidRPr="001A0D1D" w:rsidRDefault="00B51C9A" w:rsidP="00C32085">
      <w:pPr>
        <w:pBdr>
          <w:top w:val="single" w:sz="4" w:space="1" w:color="auto"/>
        </w:pBdr>
        <w:suppressAutoHyphens/>
        <w:ind w:right="142"/>
        <w:jc w:val="both"/>
        <w:rPr>
          <w:rFonts w:ascii="Calibri" w:hAnsi="Calibri"/>
        </w:rPr>
      </w:pPr>
      <w:bookmarkStart w:id="2" w:name="_Toc306295168"/>
    </w:p>
    <w:p w:rsidR="00B12694" w:rsidRPr="00107328" w:rsidRDefault="00D64398" w:rsidP="00B12694">
      <w:pPr>
        <w:suppressAutoHyphens/>
        <w:ind w:right="142"/>
        <w:jc w:val="both"/>
        <w:rPr>
          <w:rFonts w:ascii="Calibri" w:hAnsi="Calibri"/>
        </w:rPr>
      </w:pPr>
      <w:r w:rsidRPr="00107328">
        <w:rPr>
          <w:rFonts w:ascii="Calibri" w:hAnsi="Calibri"/>
        </w:rPr>
        <w:t>En el presente informe se efectúa un breve análisis fiscal de</w:t>
      </w:r>
      <w:r w:rsidR="000B4674" w:rsidRPr="00107328">
        <w:rPr>
          <w:rFonts w:ascii="Calibri" w:hAnsi="Calibri"/>
        </w:rPr>
        <w:t xml:space="preserve"> </w:t>
      </w:r>
      <w:r w:rsidRPr="00107328">
        <w:rPr>
          <w:rFonts w:ascii="Calibri" w:hAnsi="Calibri"/>
        </w:rPr>
        <w:t>l</w:t>
      </w:r>
      <w:r w:rsidR="000B4674" w:rsidRPr="00107328">
        <w:rPr>
          <w:rFonts w:ascii="Calibri" w:hAnsi="Calibri"/>
        </w:rPr>
        <w:t xml:space="preserve">a ejecución presupuestaria </w:t>
      </w:r>
      <w:r w:rsidR="00B12694" w:rsidRPr="00107328">
        <w:rPr>
          <w:rFonts w:ascii="Calibri" w:hAnsi="Calibri"/>
        </w:rPr>
        <w:t xml:space="preserve">de </w:t>
      </w:r>
      <w:r w:rsidRPr="00107328">
        <w:rPr>
          <w:rFonts w:ascii="Calibri" w:hAnsi="Calibri"/>
        </w:rPr>
        <w:t>20</w:t>
      </w:r>
      <w:r w:rsidR="00930874" w:rsidRPr="00107328">
        <w:rPr>
          <w:rFonts w:ascii="Calibri" w:hAnsi="Calibri"/>
        </w:rPr>
        <w:t>20</w:t>
      </w:r>
      <w:r w:rsidRPr="00107328">
        <w:rPr>
          <w:rFonts w:ascii="Calibri" w:hAnsi="Calibri"/>
        </w:rPr>
        <w:t>, para el consolidado de las 23 jurisdicciones provinciales y la Ciudad Autónoma de Buenos Aires</w:t>
      </w:r>
      <w:r w:rsidR="00D74A98" w:rsidRPr="00107328">
        <w:rPr>
          <w:rStyle w:val="Refdenotaalpie"/>
          <w:rFonts w:ascii="Calibri" w:hAnsi="Calibri"/>
        </w:rPr>
        <w:footnoteReference w:id="1"/>
      </w:r>
      <w:r w:rsidRPr="00107328">
        <w:rPr>
          <w:rFonts w:ascii="Calibri" w:hAnsi="Calibri"/>
        </w:rPr>
        <w:t>. El universo institucional comprendido es la Administración Pública no Financiera (APNF), integrada por la Administración Central, los Organismos Descentralizados, los Fondos Fiduciarios, Cuentas Especiales y las Instituciones de la Seguridad Social.</w:t>
      </w:r>
      <w:r w:rsidR="005E66AF" w:rsidRPr="00107328">
        <w:rPr>
          <w:rFonts w:ascii="Calibri" w:hAnsi="Calibri"/>
        </w:rPr>
        <w:t xml:space="preserve"> </w:t>
      </w:r>
      <w:r w:rsidR="00B12694" w:rsidRPr="00107328">
        <w:rPr>
          <w:rFonts w:ascii="Calibri" w:hAnsi="Calibri"/>
        </w:rPr>
        <w:t>La principal fuente de información son las ejecuciones presupuestarias difundidas por las Provincias, las cuales son ajustadas con el objetivo de armonizar criterios de imputación de recursos y gastos, como así también a efectos de mantener su correspondencia con los registros presupuestarios del Gobierno Nacional.</w:t>
      </w:r>
    </w:p>
    <w:p w:rsidR="00B12694" w:rsidRPr="00107328" w:rsidRDefault="00B12694" w:rsidP="00B12694">
      <w:pPr>
        <w:suppressAutoHyphens/>
        <w:ind w:right="142"/>
        <w:jc w:val="both"/>
        <w:rPr>
          <w:rFonts w:ascii="Calibri" w:hAnsi="Calibri"/>
        </w:rPr>
      </w:pPr>
    </w:p>
    <w:p w:rsidR="00B12694" w:rsidRPr="00107328" w:rsidRDefault="00B12694" w:rsidP="00B12694">
      <w:pPr>
        <w:suppressAutoHyphens/>
        <w:ind w:right="142"/>
        <w:jc w:val="both"/>
        <w:rPr>
          <w:rFonts w:ascii="Calibri" w:hAnsi="Calibri"/>
        </w:rPr>
      </w:pPr>
      <w:r w:rsidRPr="00107328">
        <w:rPr>
          <w:rFonts w:ascii="Calibri" w:hAnsi="Calibri"/>
        </w:rPr>
        <w:t>En primer término, se presenta para el cuarto trimestre de 20</w:t>
      </w:r>
      <w:r w:rsidR="00930874" w:rsidRPr="00107328">
        <w:rPr>
          <w:rFonts w:ascii="Calibri" w:hAnsi="Calibri"/>
        </w:rPr>
        <w:t>20</w:t>
      </w:r>
      <w:r w:rsidRPr="00107328">
        <w:rPr>
          <w:rFonts w:ascii="Calibri" w:hAnsi="Calibri"/>
        </w:rPr>
        <w:t xml:space="preserve"> la evolución de los principales agregados fiscales del esquema Ahorro-Inversión-Financiamiento (AIF),</w:t>
      </w:r>
      <w:r w:rsidR="007E4D7C" w:rsidRPr="00107328">
        <w:rPr>
          <w:rFonts w:ascii="Calibri" w:hAnsi="Calibri"/>
        </w:rPr>
        <w:t xml:space="preserve"> señalando </w:t>
      </w:r>
      <w:r w:rsidRPr="00107328">
        <w:rPr>
          <w:rFonts w:ascii="Calibri" w:hAnsi="Calibri"/>
        </w:rPr>
        <w:t>l</w:t>
      </w:r>
      <w:r w:rsidR="007E4D7C" w:rsidRPr="00107328">
        <w:rPr>
          <w:rFonts w:ascii="Calibri" w:hAnsi="Calibri"/>
        </w:rPr>
        <w:t>a</w:t>
      </w:r>
      <w:r w:rsidRPr="00107328">
        <w:rPr>
          <w:rFonts w:ascii="Calibri" w:hAnsi="Calibri"/>
        </w:rPr>
        <w:t xml:space="preserve"> </w:t>
      </w:r>
      <w:r w:rsidR="007E4D7C" w:rsidRPr="00107328">
        <w:rPr>
          <w:rFonts w:ascii="Calibri" w:hAnsi="Calibri"/>
        </w:rPr>
        <w:t>evolución</w:t>
      </w:r>
      <w:r w:rsidRPr="00107328">
        <w:rPr>
          <w:rFonts w:ascii="Calibri" w:hAnsi="Calibri"/>
        </w:rPr>
        <w:t xml:space="preserve"> de los recursos percibidos y de los gastos devengados por las jurisdicciones, así como los resultados fiscales tanto </w:t>
      </w:r>
      <w:r w:rsidR="007E4D7C" w:rsidRPr="00107328">
        <w:rPr>
          <w:rFonts w:ascii="Calibri" w:hAnsi="Calibri"/>
        </w:rPr>
        <w:t xml:space="preserve">económico como primario y </w:t>
      </w:r>
      <w:r w:rsidRPr="00107328">
        <w:rPr>
          <w:rFonts w:ascii="Calibri" w:hAnsi="Calibri"/>
        </w:rPr>
        <w:t>financiero. Asimismo, se compara el comportamiento registrado respecto del cuarto trimestre del año anterior.</w:t>
      </w:r>
    </w:p>
    <w:p w:rsidR="00B12694" w:rsidRPr="00107328" w:rsidRDefault="00B12694" w:rsidP="00B12694">
      <w:pPr>
        <w:suppressAutoHyphens/>
        <w:ind w:right="142"/>
        <w:jc w:val="both"/>
        <w:rPr>
          <w:rFonts w:ascii="Calibri" w:hAnsi="Calibri"/>
        </w:rPr>
      </w:pPr>
    </w:p>
    <w:p w:rsidR="00B12694" w:rsidRPr="00107328" w:rsidRDefault="00B12694" w:rsidP="00B12694">
      <w:pPr>
        <w:suppressAutoHyphens/>
        <w:ind w:right="142"/>
        <w:jc w:val="both"/>
        <w:rPr>
          <w:rFonts w:ascii="Calibri" w:hAnsi="Calibri"/>
        </w:rPr>
      </w:pPr>
      <w:r w:rsidRPr="00107328">
        <w:rPr>
          <w:rFonts w:ascii="Calibri" w:hAnsi="Calibri"/>
        </w:rPr>
        <w:t>En segundo orden, se aborda un análisis comparativo de los valores acumulados al cuarto trimestre de 20</w:t>
      </w:r>
      <w:r w:rsidR="00930874" w:rsidRPr="00107328">
        <w:rPr>
          <w:rFonts w:ascii="Calibri" w:hAnsi="Calibri"/>
        </w:rPr>
        <w:t>20</w:t>
      </w:r>
      <w:r w:rsidRPr="00107328">
        <w:rPr>
          <w:rFonts w:ascii="Calibri" w:hAnsi="Calibri"/>
        </w:rPr>
        <w:t>, respecto del mismo período de 201</w:t>
      </w:r>
      <w:r w:rsidR="00930874" w:rsidRPr="00107328">
        <w:rPr>
          <w:rFonts w:ascii="Calibri" w:hAnsi="Calibri"/>
        </w:rPr>
        <w:t>9</w:t>
      </w:r>
      <w:r w:rsidRPr="00107328">
        <w:rPr>
          <w:rFonts w:ascii="Calibri" w:hAnsi="Calibri"/>
        </w:rPr>
        <w:t>. A tal fin, se consideran l</w:t>
      </w:r>
      <w:r w:rsidR="007E4D7C" w:rsidRPr="00107328">
        <w:rPr>
          <w:rFonts w:ascii="Calibri" w:hAnsi="Calibri"/>
        </w:rPr>
        <w:t>a</w:t>
      </w:r>
      <w:r w:rsidRPr="00107328">
        <w:rPr>
          <w:rFonts w:ascii="Calibri" w:hAnsi="Calibri"/>
        </w:rPr>
        <w:t xml:space="preserve">s </w:t>
      </w:r>
      <w:r w:rsidR="007E4D7C" w:rsidRPr="00107328">
        <w:rPr>
          <w:rFonts w:ascii="Calibri" w:hAnsi="Calibri"/>
        </w:rPr>
        <w:t xml:space="preserve">distintas definiciones de los </w:t>
      </w:r>
      <w:r w:rsidRPr="00107328">
        <w:rPr>
          <w:rFonts w:ascii="Calibri" w:hAnsi="Calibri"/>
        </w:rPr>
        <w:t xml:space="preserve">resultados fiscales </w:t>
      </w:r>
      <w:r w:rsidR="007E4D7C" w:rsidRPr="00107328">
        <w:rPr>
          <w:rFonts w:ascii="Calibri" w:hAnsi="Calibri"/>
        </w:rPr>
        <w:t>(económico, primario y</w:t>
      </w:r>
      <w:r w:rsidRPr="00107328">
        <w:rPr>
          <w:rFonts w:ascii="Calibri" w:hAnsi="Calibri"/>
        </w:rPr>
        <w:t xml:space="preserve"> financiero</w:t>
      </w:r>
      <w:r w:rsidR="007E4D7C" w:rsidRPr="00107328">
        <w:rPr>
          <w:rFonts w:ascii="Calibri" w:hAnsi="Calibri"/>
        </w:rPr>
        <w:t>)</w:t>
      </w:r>
      <w:r w:rsidRPr="00107328">
        <w:rPr>
          <w:rFonts w:ascii="Calibri" w:hAnsi="Calibri"/>
        </w:rPr>
        <w:t xml:space="preserve"> y </w:t>
      </w:r>
      <w:r w:rsidR="007E4D7C" w:rsidRPr="00107328">
        <w:rPr>
          <w:rFonts w:ascii="Calibri" w:hAnsi="Calibri"/>
        </w:rPr>
        <w:t xml:space="preserve">el desempeño </w:t>
      </w:r>
      <w:r w:rsidRPr="00107328">
        <w:rPr>
          <w:rFonts w:ascii="Calibri" w:hAnsi="Calibri"/>
        </w:rPr>
        <w:t>de los recursos y gastos de las jurisdicciones.</w:t>
      </w:r>
    </w:p>
    <w:p w:rsidR="00B12694" w:rsidRPr="00107328" w:rsidRDefault="00B12694" w:rsidP="00B12694">
      <w:pPr>
        <w:suppressAutoHyphens/>
        <w:ind w:right="142"/>
        <w:jc w:val="both"/>
        <w:rPr>
          <w:rFonts w:ascii="Calibri" w:hAnsi="Calibri"/>
        </w:rPr>
      </w:pPr>
    </w:p>
    <w:p w:rsidR="00B12694" w:rsidRPr="00107328" w:rsidRDefault="00B12694" w:rsidP="00B12694">
      <w:pPr>
        <w:suppressAutoHyphens/>
        <w:ind w:right="142"/>
        <w:jc w:val="both"/>
        <w:rPr>
          <w:rFonts w:ascii="Calibri" w:hAnsi="Calibri"/>
        </w:rPr>
      </w:pPr>
      <w:r w:rsidRPr="00107328">
        <w:rPr>
          <w:rFonts w:ascii="Calibri" w:hAnsi="Calibri"/>
        </w:rPr>
        <w:t>Respecto de los Recursos, se considera la evolución de los ingresos Corrientes y de Capital, examinando los conceptos agregados de cada ítem. En cuanto al Gasto Público Provincial, se consideran dos perspectivas según la clasificación presupuestaria. La clasificación Económica y por Objeto, que permite apreciar la naturaleza económica y el orden analítico del gasto, y la clasificación por Finalidad y Función, que muestra el carácter de los servicios que brindan las administraciones gubernamentales de las jurisdicciones a la comunidad.</w:t>
      </w:r>
    </w:p>
    <w:p w:rsidR="00B12694" w:rsidRPr="00107328" w:rsidRDefault="00B12694" w:rsidP="00B12694">
      <w:pPr>
        <w:suppressAutoHyphens/>
        <w:ind w:right="142"/>
        <w:jc w:val="both"/>
        <w:rPr>
          <w:rFonts w:ascii="Calibri" w:hAnsi="Calibri"/>
        </w:rPr>
      </w:pPr>
    </w:p>
    <w:p w:rsidR="005611C8" w:rsidRPr="00107328" w:rsidRDefault="00B12694" w:rsidP="00F159E0">
      <w:pPr>
        <w:suppressAutoHyphens/>
        <w:ind w:right="142"/>
        <w:jc w:val="both"/>
        <w:rPr>
          <w:rFonts w:ascii="Calibri" w:hAnsi="Calibri"/>
        </w:rPr>
      </w:pPr>
      <w:r w:rsidRPr="00107328">
        <w:rPr>
          <w:rFonts w:ascii="Calibri" w:hAnsi="Calibri"/>
        </w:rPr>
        <w:t>En el cierre del informe se describe la evolución reciente de recursos, erogaciones y resultado financiero del conjunto de Provincias y Ciudad Autónoma de Buenos Aires, expresados en términos del valor nominal del Producto Interno Bruto.</w:t>
      </w:r>
      <w:r w:rsidR="005E66AF" w:rsidRPr="00107328">
        <w:rPr>
          <w:rFonts w:ascii="Calibri" w:hAnsi="Calibri"/>
        </w:rPr>
        <w:t xml:space="preserve"> </w:t>
      </w:r>
      <w:r w:rsidR="00526C6D" w:rsidRPr="00107328">
        <w:rPr>
          <w:rFonts w:ascii="Calibri" w:hAnsi="Calibri"/>
        </w:rPr>
        <w:t>Se adjunta como anexo al informe</w:t>
      </w:r>
      <w:r w:rsidR="003D5D8C" w:rsidRPr="00107328">
        <w:rPr>
          <w:rFonts w:ascii="Calibri" w:hAnsi="Calibri"/>
        </w:rPr>
        <w:t>, en el Cuadro 6,</w:t>
      </w:r>
      <w:r w:rsidR="00526C6D" w:rsidRPr="00107328">
        <w:rPr>
          <w:rFonts w:ascii="Calibri" w:hAnsi="Calibri"/>
        </w:rPr>
        <w:t xml:space="preserve"> </w:t>
      </w:r>
      <w:r w:rsidR="00EC6BDE" w:rsidRPr="00107328">
        <w:rPr>
          <w:rFonts w:ascii="Calibri" w:hAnsi="Calibri"/>
        </w:rPr>
        <w:t>el</w:t>
      </w:r>
      <w:r w:rsidR="00526C6D" w:rsidRPr="00107328">
        <w:rPr>
          <w:rFonts w:ascii="Calibri" w:hAnsi="Calibri"/>
        </w:rPr>
        <w:t xml:space="preserve"> esquema Ahorro-Inversión-Financiamiento correspondiente al Consolidado de 24 Jurisdicciones del primer</w:t>
      </w:r>
      <w:r w:rsidR="00585188" w:rsidRPr="00107328">
        <w:rPr>
          <w:rFonts w:ascii="Calibri" w:hAnsi="Calibri"/>
        </w:rPr>
        <w:t>o, segundo</w:t>
      </w:r>
      <w:r w:rsidR="004A27F0" w:rsidRPr="00107328">
        <w:rPr>
          <w:rFonts w:ascii="Calibri" w:hAnsi="Calibri"/>
        </w:rPr>
        <w:t>,</w:t>
      </w:r>
      <w:r w:rsidR="00526C6D" w:rsidRPr="00107328">
        <w:rPr>
          <w:rFonts w:ascii="Calibri" w:hAnsi="Calibri"/>
        </w:rPr>
        <w:t xml:space="preserve"> </w:t>
      </w:r>
      <w:r w:rsidR="00585188" w:rsidRPr="00107328">
        <w:rPr>
          <w:rFonts w:ascii="Calibri" w:hAnsi="Calibri"/>
        </w:rPr>
        <w:t>tercer</w:t>
      </w:r>
      <w:r w:rsidR="00526C6D" w:rsidRPr="00107328">
        <w:rPr>
          <w:rFonts w:ascii="Calibri" w:hAnsi="Calibri"/>
        </w:rPr>
        <w:t xml:space="preserve"> </w:t>
      </w:r>
      <w:r w:rsidR="004A27F0" w:rsidRPr="00107328">
        <w:rPr>
          <w:rFonts w:ascii="Calibri" w:hAnsi="Calibri"/>
        </w:rPr>
        <w:t xml:space="preserve">y cuarto </w:t>
      </w:r>
      <w:r w:rsidR="00526C6D" w:rsidRPr="00107328">
        <w:rPr>
          <w:rFonts w:ascii="Calibri" w:hAnsi="Calibri"/>
        </w:rPr>
        <w:t>trimestre</w:t>
      </w:r>
      <w:r w:rsidR="004A27F0" w:rsidRPr="00107328">
        <w:rPr>
          <w:rFonts w:ascii="Calibri" w:hAnsi="Calibri"/>
        </w:rPr>
        <w:t>s</w:t>
      </w:r>
      <w:r w:rsidR="00526C6D" w:rsidRPr="00107328">
        <w:rPr>
          <w:rFonts w:ascii="Calibri" w:hAnsi="Calibri"/>
        </w:rPr>
        <w:t xml:space="preserve"> de 20</w:t>
      </w:r>
      <w:r w:rsidR="00107328" w:rsidRPr="00107328">
        <w:rPr>
          <w:rFonts w:ascii="Calibri" w:hAnsi="Calibri"/>
        </w:rPr>
        <w:t>20</w:t>
      </w:r>
      <w:r w:rsidR="00526C6D" w:rsidRPr="00107328">
        <w:rPr>
          <w:rFonts w:ascii="Calibri" w:hAnsi="Calibri"/>
        </w:rPr>
        <w:t xml:space="preserve"> sin acumular, más el correspondiente acumulado </w:t>
      </w:r>
      <w:r w:rsidR="004A27F0" w:rsidRPr="00107328">
        <w:rPr>
          <w:rFonts w:ascii="Calibri" w:hAnsi="Calibri"/>
        </w:rPr>
        <w:t>anual</w:t>
      </w:r>
      <w:r w:rsidR="00526C6D" w:rsidRPr="00107328">
        <w:rPr>
          <w:rFonts w:ascii="Calibri" w:hAnsi="Calibri"/>
        </w:rPr>
        <w:t xml:space="preserve"> </w:t>
      </w:r>
      <w:r w:rsidR="00DB4EE3" w:rsidRPr="00107328">
        <w:rPr>
          <w:rFonts w:ascii="Calibri" w:hAnsi="Calibri"/>
        </w:rPr>
        <w:t>del</w:t>
      </w:r>
      <w:r w:rsidR="00526C6D" w:rsidRPr="00107328">
        <w:rPr>
          <w:rFonts w:ascii="Calibri" w:hAnsi="Calibri"/>
        </w:rPr>
        <w:t xml:space="preserve"> ejercicio. </w:t>
      </w:r>
      <w:r w:rsidR="00D64398" w:rsidRPr="00107328">
        <w:rPr>
          <w:rFonts w:ascii="Calibri" w:hAnsi="Calibri"/>
        </w:rPr>
        <w:t>Una información más detallada de las ejecuciones presupuestarias, puede ser consultada en la página Web:</w:t>
      </w:r>
    </w:p>
    <w:p w:rsidR="004D1F63" w:rsidRPr="00645A23" w:rsidRDefault="004D1F63" w:rsidP="004D1F63">
      <w:pPr>
        <w:suppressAutoHyphens/>
        <w:ind w:right="142"/>
        <w:rPr>
          <w:rFonts w:ascii="Calibri" w:hAnsi="Calibri"/>
        </w:rPr>
      </w:pPr>
      <w:r w:rsidRPr="00107328">
        <w:rPr>
          <w:rFonts w:ascii="Calibri" w:hAnsi="Calibri"/>
        </w:rPr>
        <w:t>https://www.minhacienda.gob.ar/dnap/ejecuciones.html</w:t>
      </w:r>
    </w:p>
    <w:p w:rsidR="00F159E0" w:rsidRPr="001A0D1D" w:rsidRDefault="00F159E0" w:rsidP="00F159E0">
      <w:pPr>
        <w:suppressAutoHyphens/>
        <w:ind w:right="142"/>
        <w:jc w:val="both"/>
        <w:rPr>
          <w:rFonts w:ascii="Calibri" w:hAnsi="Calibri"/>
        </w:rPr>
        <w:sectPr w:rsidR="00F159E0" w:rsidRPr="001A0D1D" w:rsidSect="00F159E0">
          <w:pgSz w:w="11907" w:h="16839" w:code="9"/>
          <w:pgMar w:top="1417" w:right="1134" w:bottom="1417" w:left="1134" w:header="567" w:footer="567" w:gutter="0"/>
          <w:pgNumType w:start="2"/>
          <w:cols w:space="708"/>
          <w:docGrid w:linePitch="360"/>
        </w:sectPr>
      </w:pPr>
    </w:p>
    <w:p w:rsidR="007D19B2" w:rsidRPr="00C668B6" w:rsidRDefault="00C32085" w:rsidP="00C668B6">
      <w:pPr>
        <w:pStyle w:val="Ttulo1"/>
        <w:numPr>
          <w:ilvl w:val="0"/>
          <w:numId w:val="0"/>
        </w:numPr>
        <w:pBdr>
          <w:bottom w:val="single" w:sz="4" w:space="1" w:color="auto"/>
        </w:pBdr>
        <w:suppressAutoHyphens/>
        <w:spacing w:before="0" w:after="0"/>
        <w:rPr>
          <w:rFonts w:ascii="Calibri" w:hAnsi="Calibri" w:cs="Times New Roman"/>
          <w:color w:val="595959"/>
          <w:sz w:val="28"/>
          <w:szCs w:val="28"/>
        </w:rPr>
      </w:pPr>
      <w:bookmarkStart w:id="3" w:name="_Toc502068507"/>
      <w:bookmarkStart w:id="4" w:name="_Toc99450864"/>
      <w:bookmarkEnd w:id="2"/>
      <w:r w:rsidRPr="00C668B6">
        <w:rPr>
          <w:rFonts w:ascii="Calibri" w:hAnsi="Calibri" w:cs="Times New Roman"/>
          <w:color w:val="595959"/>
          <w:sz w:val="28"/>
          <w:szCs w:val="28"/>
        </w:rPr>
        <w:lastRenderedPageBreak/>
        <w:t>2</w:t>
      </w:r>
      <w:r w:rsidR="007D19B2" w:rsidRPr="00C668B6">
        <w:rPr>
          <w:rFonts w:ascii="Calibri" w:hAnsi="Calibri" w:cs="Times New Roman"/>
          <w:color w:val="595959"/>
          <w:sz w:val="28"/>
          <w:szCs w:val="28"/>
        </w:rPr>
        <w:t>. CUARTO TRIMESTRE 20</w:t>
      </w:r>
      <w:bookmarkEnd w:id="3"/>
      <w:r w:rsidR="00532484">
        <w:rPr>
          <w:rFonts w:ascii="Calibri" w:hAnsi="Calibri" w:cs="Times New Roman"/>
          <w:color w:val="595959"/>
          <w:sz w:val="28"/>
          <w:szCs w:val="28"/>
        </w:rPr>
        <w:t>20</w:t>
      </w:r>
      <w:bookmarkEnd w:id="4"/>
    </w:p>
    <w:p w:rsidR="00091876" w:rsidRPr="001A0D1D" w:rsidRDefault="00091876" w:rsidP="00C32085">
      <w:pPr>
        <w:pBdr>
          <w:top w:val="single" w:sz="4" w:space="1" w:color="auto"/>
        </w:pBdr>
        <w:suppressAutoHyphens/>
        <w:jc w:val="both"/>
        <w:rPr>
          <w:rFonts w:ascii="Calibri" w:hAnsi="Calibri"/>
          <w:highlight w:val="yellow"/>
        </w:rPr>
      </w:pPr>
    </w:p>
    <w:p w:rsidR="00091876" w:rsidRPr="00165E4A" w:rsidRDefault="007D19B2" w:rsidP="007D19B2">
      <w:pPr>
        <w:suppressAutoHyphens/>
        <w:jc w:val="both"/>
        <w:rPr>
          <w:rFonts w:ascii="Calibri" w:hAnsi="Calibri"/>
        </w:rPr>
      </w:pPr>
      <w:r w:rsidRPr="00165E4A">
        <w:rPr>
          <w:rFonts w:ascii="Calibri" w:hAnsi="Calibri"/>
        </w:rPr>
        <w:t xml:space="preserve">La ejecución de recursos y gastos observa en el cuarto trimestre </w:t>
      </w:r>
      <w:r w:rsidR="00E338C7" w:rsidRPr="00165E4A">
        <w:rPr>
          <w:rFonts w:ascii="Calibri" w:hAnsi="Calibri"/>
        </w:rPr>
        <w:t xml:space="preserve">de 2020 </w:t>
      </w:r>
      <w:r w:rsidRPr="00165E4A">
        <w:rPr>
          <w:rFonts w:ascii="Calibri" w:hAnsi="Calibri"/>
        </w:rPr>
        <w:t>un comportamiento estacional</w:t>
      </w:r>
      <w:r w:rsidR="00A10A3C" w:rsidRPr="00165E4A">
        <w:rPr>
          <w:rFonts w:ascii="Calibri" w:hAnsi="Calibri"/>
        </w:rPr>
        <w:t xml:space="preserve">, </w:t>
      </w:r>
      <w:r w:rsidR="00072F5C" w:rsidRPr="00165E4A">
        <w:rPr>
          <w:rFonts w:ascii="Calibri" w:hAnsi="Calibri"/>
        </w:rPr>
        <w:t>que</w:t>
      </w:r>
      <w:r w:rsidR="00A10A3C" w:rsidRPr="00165E4A">
        <w:rPr>
          <w:rFonts w:ascii="Calibri" w:hAnsi="Calibri"/>
        </w:rPr>
        <w:t xml:space="preserve"> </w:t>
      </w:r>
      <w:r w:rsidR="00E338C7" w:rsidRPr="00165E4A">
        <w:rPr>
          <w:rFonts w:ascii="Calibri" w:hAnsi="Calibri"/>
        </w:rPr>
        <w:t xml:space="preserve">en el caso del presente ejercicio adquiere rasgos específicos a partir de la declaración de la emergencia sanitaria </w:t>
      </w:r>
      <w:r w:rsidR="0074651A">
        <w:rPr>
          <w:rFonts w:ascii="Calibri" w:hAnsi="Calibri"/>
        </w:rPr>
        <w:t>internacional</w:t>
      </w:r>
      <w:r w:rsidR="00E338C7" w:rsidRPr="00165E4A">
        <w:rPr>
          <w:rFonts w:ascii="Calibri" w:hAnsi="Calibri"/>
        </w:rPr>
        <w:t xml:space="preserve"> por la Organización Mundial de la Salud y que en el ámbito nacional requirió el establecimiento de medidas de aislamiento social, preventivo y obligatorio reglamentados mediante el Decreto PEN N° 297/2020</w:t>
      </w:r>
      <w:r w:rsidR="001A6591">
        <w:rPr>
          <w:rFonts w:ascii="Calibri" w:hAnsi="Calibri"/>
        </w:rPr>
        <w:t>, con</w:t>
      </w:r>
      <w:r w:rsidR="00E338C7" w:rsidRPr="00165E4A">
        <w:rPr>
          <w:rFonts w:ascii="Calibri" w:hAnsi="Calibri"/>
        </w:rPr>
        <w:t xml:space="preserve"> sus modificatorias y complementarias</w:t>
      </w:r>
      <w:r w:rsidR="0074651A">
        <w:rPr>
          <w:rFonts w:ascii="Calibri" w:hAnsi="Calibri"/>
        </w:rPr>
        <w:t>, vigentes al término de 2020</w:t>
      </w:r>
      <w:r w:rsidRPr="00165E4A">
        <w:rPr>
          <w:rFonts w:ascii="Calibri" w:hAnsi="Calibri"/>
        </w:rPr>
        <w:t xml:space="preserve">. </w:t>
      </w:r>
      <w:r w:rsidR="00165E4A" w:rsidRPr="00165E4A">
        <w:rPr>
          <w:rFonts w:ascii="Calibri" w:hAnsi="Calibri"/>
        </w:rPr>
        <w:t xml:space="preserve">De este modo, </w:t>
      </w:r>
      <w:r w:rsidRPr="00165E4A">
        <w:rPr>
          <w:rFonts w:ascii="Calibri" w:hAnsi="Calibri"/>
        </w:rPr>
        <w:t>por el lado de los recursos</w:t>
      </w:r>
      <w:r w:rsidR="00072F5C" w:rsidRPr="00165E4A">
        <w:rPr>
          <w:rFonts w:ascii="Calibri" w:hAnsi="Calibri"/>
        </w:rPr>
        <w:t>, éstos</w:t>
      </w:r>
      <w:r w:rsidRPr="00165E4A">
        <w:rPr>
          <w:rFonts w:ascii="Calibri" w:hAnsi="Calibri"/>
        </w:rPr>
        <w:t xml:space="preserve"> </w:t>
      </w:r>
      <w:r w:rsidR="00165E4A" w:rsidRPr="00165E4A">
        <w:rPr>
          <w:rFonts w:ascii="Calibri" w:hAnsi="Calibri"/>
        </w:rPr>
        <w:t>vieron impactados la dinámica habitual impresa por su</w:t>
      </w:r>
      <w:r w:rsidRPr="00165E4A">
        <w:rPr>
          <w:rFonts w:ascii="Calibri" w:hAnsi="Calibri"/>
        </w:rPr>
        <w:t xml:space="preserve"> calendario impositivo</w:t>
      </w:r>
      <w:r w:rsidR="00165E4A" w:rsidRPr="00165E4A">
        <w:rPr>
          <w:rFonts w:ascii="Calibri" w:hAnsi="Calibri"/>
        </w:rPr>
        <w:t>, tanto como por</w:t>
      </w:r>
      <w:r w:rsidR="00A10A3C" w:rsidRPr="00165E4A">
        <w:rPr>
          <w:rFonts w:ascii="Calibri" w:hAnsi="Calibri"/>
        </w:rPr>
        <w:t xml:space="preserve"> la evolución d</w:t>
      </w:r>
      <w:r w:rsidRPr="00165E4A">
        <w:rPr>
          <w:rFonts w:ascii="Calibri" w:hAnsi="Calibri"/>
        </w:rPr>
        <w:t>e la</w:t>
      </w:r>
      <w:r w:rsidR="00072F5C" w:rsidRPr="00165E4A">
        <w:rPr>
          <w:rFonts w:ascii="Calibri" w:hAnsi="Calibri"/>
        </w:rPr>
        <w:t>s</w:t>
      </w:r>
      <w:r w:rsidRPr="00165E4A">
        <w:rPr>
          <w:rFonts w:ascii="Calibri" w:hAnsi="Calibri"/>
        </w:rPr>
        <w:t xml:space="preserve"> actividad</w:t>
      </w:r>
      <w:r w:rsidR="00072F5C" w:rsidRPr="00165E4A">
        <w:rPr>
          <w:rFonts w:ascii="Calibri" w:hAnsi="Calibri"/>
        </w:rPr>
        <w:t>es</w:t>
      </w:r>
      <w:r w:rsidRPr="00165E4A">
        <w:rPr>
          <w:rFonts w:ascii="Calibri" w:hAnsi="Calibri"/>
        </w:rPr>
        <w:t xml:space="preserve"> económica</w:t>
      </w:r>
      <w:r w:rsidR="00072F5C" w:rsidRPr="00165E4A">
        <w:rPr>
          <w:rFonts w:ascii="Calibri" w:hAnsi="Calibri"/>
        </w:rPr>
        <w:t>s más significativas</w:t>
      </w:r>
      <w:r w:rsidR="00165E4A" w:rsidRPr="00165E4A">
        <w:rPr>
          <w:rFonts w:ascii="Calibri" w:hAnsi="Calibri"/>
        </w:rPr>
        <w:t xml:space="preserve"> en cada distrito, que debieron suspender o limitar </w:t>
      </w:r>
      <w:r w:rsidR="0074651A">
        <w:rPr>
          <w:rFonts w:ascii="Calibri" w:hAnsi="Calibri"/>
        </w:rPr>
        <w:t>su desempeño</w:t>
      </w:r>
      <w:r w:rsidR="00165E4A" w:rsidRPr="00165E4A">
        <w:rPr>
          <w:rFonts w:ascii="Calibri" w:hAnsi="Calibri"/>
        </w:rPr>
        <w:t>, lo que llevó a las jurisdicciones a refinanciar</w:t>
      </w:r>
      <w:r w:rsidR="0074651A">
        <w:rPr>
          <w:rFonts w:ascii="Calibri" w:hAnsi="Calibri"/>
        </w:rPr>
        <w:t xml:space="preserve"> o</w:t>
      </w:r>
      <w:r w:rsidR="00165E4A" w:rsidRPr="00165E4A">
        <w:rPr>
          <w:rFonts w:ascii="Calibri" w:hAnsi="Calibri"/>
        </w:rPr>
        <w:t xml:space="preserve"> disminuir su imposición</w:t>
      </w:r>
      <w:r w:rsidRPr="00165E4A">
        <w:rPr>
          <w:rFonts w:ascii="Calibri" w:hAnsi="Calibri"/>
        </w:rPr>
        <w:t>.</w:t>
      </w:r>
      <w:r w:rsidR="00165E4A" w:rsidRPr="00165E4A">
        <w:rPr>
          <w:rFonts w:ascii="Calibri" w:hAnsi="Calibri"/>
        </w:rPr>
        <w:t xml:space="preserve"> Al cuarto trimestre, la actividad m</w:t>
      </w:r>
      <w:r w:rsidR="00165E4A">
        <w:rPr>
          <w:rFonts w:ascii="Calibri" w:hAnsi="Calibri"/>
        </w:rPr>
        <w:t>uestra no obstante</w:t>
      </w:r>
      <w:r w:rsidR="00165E4A" w:rsidRPr="00165E4A">
        <w:rPr>
          <w:rFonts w:ascii="Calibri" w:hAnsi="Calibri"/>
        </w:rPr>
        <w:t xml:space="preserve"> </w:t>
      </w:r>
      <w:r w:rsidR="001A6591">
        <w:rPr>
          <w:rFonts w:ascii="Calibri" w:hAnsi="Calibri"/>
        </w:rPr>
        <w:t xml:space="preserve">claros </w:t>
      </w:r>
      <w:r w:rsidR="00CE5917">
        <w:rPr>
          <w:rFonts w:ascii="Calibri" w:hAnsi="Calibri"/>
        </w:rPr>
        <w:t>indicios</w:t>
      </w:r>
      <w:r w:rsidR="00165E4A" w:rsidRPr="00165E4A">
        <w:rPr>
          <w:rFonts w:ascii="Calibri" w:hAnsi="Calibri"/>
        </w:rPr>
        <w:t xml:space="preserve"> de recuperación.</w:t>
      </w:r>
    </w:p>
    <w:p w:rsidR="00091876" w:rsidRPr="00532533" w:rsidRDefault="00091876" w:rsidP="007D19B2">
      <w:pPr>
        <w:suppressAutoHyphens/>
        <w:jc w:val="both"/>
        <w:rPr>
          <w:rFonts w:ascii="Calibri" w:hAnsi="Calibri"/>
          <w:highlight w:val="yellow"/>
        </w:rPr>
      </w:pPr>
    </w:p>
    <w:p w:rsidR="007D19B2" w:rsidRPr="00CF0C80" w:rsidRDefault="0074651A" w:rsidP="007D19B2">
      <w:pPr>
        <w:suppressAutoHyphens/>
        <w:jc w:val="both"/>
        <w:rPr>
          <w:rFonts w:ascii="Calibri" w:hAnsi="Calibri"/>
        </w:rPr>
      </w:pPr>
      <w:r w:rsidRPr="00CF0C80">
        <w:rPr>
          <w:rFonts w:ascii="Calibri" w:hAnsi="Calibri"/>
        </w:rPr>
        <w:t>R</w:t>
      </w:r>
      <w:r w:rsidR="007D19B2" w:rsidRPr="00CF0C80">
        <w:rPr>
          <w:rFonts w:ascii="Calibri" w:hAnsi="Calibri"/>
        </w:rPr>
        <w:t>especto de los gastos</w:t>
      </w:r>
      <w:r w:rsidR="00072F5C" w:rsidRPr="00CF0C80">
        <w:rPr>
          <w:rFonts w:ascii="Calibri" w:hAnsi="Calibri"/>
        </w:rPr>
        <w:t xml:space="preserve">, </w:t>
      </w:r>
      <w:r w:rsidR="00233EC8" w:rsidRPr="00CF0C80">
        <w:rPr>
          <w:rFonts w:ascii="Calibri" w:hAnsi="Calibri"/>
        </w:rPr>
        <w:t>su componente menos flexible</w:t>
      </w:r>
      <w:r w:rsidR="007D19B2" w:rsidRPr="00CF0C80">
        <w:rPr>
          <w:rFonts w:ascii="Calibri" w:hAnsi="Calibri"/>
        </w:rPr>
        <w:t xml:space="preserve"> se ve especialmente </w:t>
      </w:r>
      <w:r w:rsidR="00A10A3C" w:rsidRPr="00CF0C80">
        <w:rPr>
          <w:rFonts w:ascii="Calibri" w:hAnsi="Calibri"/>
        </w:rPr>
        <w:t>incrementado</w:t>
      </w:r>
      <w:r w:rsidR="007D19B2" w:rsidRPr="00CF0C80">
        <w:rPr>
          <w:rFonts w:ascii="Calibri" w:hAnsi="Calibri"/>
        </w:rPr>
        <w:t xml:space="preserve"> por el pago del medio sueldo anual complementario (tanto a los agentes activos como a los pasivos), así como por los </w:t>
      </w:r>
      <w:r w:rsidR="00A10A3C" w:rsidRPr="00CF0C80">
        <w:rPr>
          <w:rFonts w:ascii="Calibri" w:hAnsi="Calibri"/>
        </w:rPr>
        <w:t xml:space="preserve">mayores </w:t>
      </w:r>
      <w:r w:rsidR="007D19B2" w:rsidRPr="00CF0C80">
        <w:rPr>
          <w:rFonts w:ascii="Calibri" w:hAnsi="Calibri"/>
        </w:rPr>
        <w:t xml:space="preserve">subsidios o transferencias a municipios y </w:t>
      </w:r>
      <w:r w:rsidR="00A10A3C" w:rsidRPr="00CF0C80">
        <w:rPr>
          <w:rFonts w:ascii="Calibri" w:hAnsi="Calibri"/>
        </w:rPr>
        <w:t xml:space="preserve">a </w:t>
      </w:r>
      <w:r w:rsidR="007D19B2" w:rsidRPr="00CF0C80">
        <w:rPr>
          <w:rFonts w:ascii="Calibri" w:hAnsi="Calibri"/>
        </w:rPr>
        <w:t>otros organismos provinciales que habitualmente se destinan a complementar tales pagos y eventuales beneficios extraordinarios en los salarios de fin de año.</w:t>
      </w:r>
      <w:r w:rsidR="00A10A3C" w:rsidRPr="00CF0C80">
        <w:rPr>
          <w:rFonts w:ascii="Calibri" w:hAnsi="Calibri"/>
        </w:rPr>
        <w:t xml:space="preserve"> </w:t>
      </w:r>
      <w:r w:rsidR="00233EC8" w:rsidRPr="00CF0C80">
        <w:rPr>
          <w:rFonts w:ascii="Calibri" w:hAnsi="Calibri"/>
        </w:rPr>
        <w:t xml:space="preserve">Esto se compensa parcialmente </w:t>
      </w:r>
      <w:r w:rsidR="00CF0C80" w:rsidRPr="00CF0C80">
        <w:rPr>
          <w:rFonts w:ascii="Calibri" w:hAnsi="Calibri"/>
        </w:rPr>
        <w:t>por el efecto de la refinanciación de deuda de varias jurisdicciones provinciales en el menor pago de intereses</w:t>
      </w:r>
      <w:r w:rsidR="00896AC3">
        <w:rPr>
          <w:rFonts w:ascii="Calibri" w:hAnsi="Calibri"/>
        </w:rPr>
        <w:t xml:space="preserve">. </w:t>
      </w:r>
      <w:r w:rsidR="00233EC8" w:rsidRPr="00CF0C80">
        <w:rPr>
          <w:rFonts w:ascii="Calibri" w:hAnsi="Calibri"/>
        </w:rPr>
        <w:t>De todos modos,</w:t>
      </w:r>
      <w:r w:rsidR="00A10A3C" w:rsidRPr="00CF0C80">
        <w:rPr>
          <w:rFonts w:ascii="Calibri" w:hAnsi="Calibri"/>
        </w:rPr>
        <w:t xml:space="preserve"> el aumento de los gastos supera al crecimiento de los recursos, </w:t>
      </w:r>
      <w:r w:rsidR="00CF0C80" w:rsidRPr="00CF0C80">
        <w:rPr>
          <w:rFonts w:ascii="Calibri" w:hAnsi="Calibri"/>
        </w:rPr>
        <w:t xml:space="preserve">aunque en menor proporción a la verificada </w:t>
      </w:r>
      <w:r w:rsidR="001A6591">
        <w:rPr>
          <w:rFonts w:ascii="Calibri" w:hAnsi="Calibri"/>
        </w:rPr>
        <w:t>en</w:t>
      </w:r>
      <w:r w:rsidR="00CF0C80" w:rsidRPr="00CF0C80">
        <w:rPr>
          <w:rFonts w:ascii="Calibri" w:hAnsi="Calibri"/>
        </w:rPr>
        <w:t xml:space="preserve"> </w:t>
      </w:r>
      <w:r w:rsidR="001A6591">
        <w:rPr>
          <w:rFonts w:ascii="Calibri" w:hAnsi="Calibri"/>
        </w:rPr>
        <w:t xml:space="preserve">los </w:t>
      </w:r>
      <w:r w:rsidR="00CF0C80" w:rsidRPr="00CF0C80">
        <w:rPr>
          <w:rFonts w:ascii="Calibri" w:hAnsi="Calibri"/>
        </w:rPr>
        <w:t>trimestre</w:t>
      </w:r>
      <w:r w:rsidR="001A6591">
        <w:rPr>
          <w:rFonts w:ascii="Calibri" w:hAnsi="Calibri"/>
        </w:rPr>
        <w:t>s anteriores</w:t>
      </w:r>
      <w:r w:rsidR="009D62F2">
        <w:rPr>
          <w:rFonts w:ascii="Calibri" w:hAnsi="Calibri"/>
        </w:rPr>
        <w:t xml:space="preserve"> del año</w:t>
      </w:r>
      <w:r w:rsidR="00A10A3C" w:rsidRPr="00CF0C80">
        <w:rPr>
          <w:rFonts w:ascii="Calibri" w:hAnsi="Calibri"/>
        </w:rPr>
        <w:t>.</w:t>
      </w:r>
    </w:p>
    <w:p w:rsidR="007D19B2" w:rsidRPr="00532533" w:rsidRDefault="007D19B2" w:rsidP="007D19B2">
      <w:pPr>
        <w:suppressAutoHyphens/>
        <w:jc w:val="both"/>
        <w:rPr>
          <w:rFonts w:ascii="Calibri" w:hAnsi="Calibri"/>
          <w:highlight w:val="yellow"/>
        </w:rPr>
      </w:pPr>
    </w:p>
    <w:p w:rsidR="007D19B2" w:rsidRPr="001A0D1D" w:rsidRDefault="007D19B2" w:rsidP="007D19B2">
      <w:pPr>
        <w:suppressAutoHyphens/>
        <w:jc w:val="both"/>
        <w:rPr>
          <w:rFonts w:ascii="Calibri" w:hAnsi="Calibri"/>
        </w:rPr>
      </w:pPr>
      <w:r w:rsidRPr="00240B00">
        <w:rPr>
          <w:rFonts w:ascii="Calibri" w:hAnsi="Calibri"/>
        </w:rPr>
        <w:t>En comparación con idéntico período del ejercicio anterior se observa (Cuadro 1) que el cuarto trimestre de 20</w:t>
      </w:r>
      <w:r w:rsidR="00CF0C80" w:rsidRPr="00240B00">
        <w:rPr>
          <w:rFonts w:ascii="Calibri" w:hAnsi="Calibri"/>
        </w:rPr>
        <w:t>20</w:t>
      </w:r>
      <w:r w:rsidRPr="00240B00">
        <w:rPr>
          <w:rFonts w:ascii="Calibri" w:hAnsi="Calibri"/>
        </w:rPr>
        <w:t xml:space="preserve"> concluye con un Resultado Económico </w:t>
      </w:r>
      <w:r w:rsidR="00CF0C80" w:rsidRPr="00240B00">
        <w:rPr>
          <w:rFonts w:ascii="Calibri" w:hAnsi="Calibri"/>
        </w:rPr>
        <w:t>superavitario</w:t>
      </w:r>
      <w:r w:rsidRPr="00240B00">
        <w:rPr>
          <w:rFonts w:ascii="Calibri" w:hAnsi="Calibri"/>
        </w:rPr>
        <w:t xml:space="preserve"> en </w:t>
      </w:r>
      <w:r w:rsidR="000211ED">
        <w:rPr>
          <w:rFonts w:ascii="Calibri" w:hAnsi="Calibri"/>
        </w:rPr>
        <w:t xml:space="preserve">$ </w:t>
      </w:r>
      <w:r w:rsidR="00CF0C80" w:rsidRPr="00240B00">
        <w:rPr>
          <w:rFonts w:ascii="Calibri" w:hAnsi="Calibri"/>
        </w:rPr>
        <w:t>6.868</w:t>
      </w:r>
      <w:r w:rsidRPr="00240B00">
        <w:rPr>
          <w:rFonts w:ascii="Calibri" w:hAnsi="Calibri"/>
        </w:rPr>
        <w:t xml:space="preserve"> millones, </w:t>
      </w:r>
      <w:r w:rsidR="00CF0C80" w:rsidRPr="00240B00">
        <w:rPr>
          <w:rFonts w:ascii="Calibri" w:hAnsi="Calibri"/>
        </w:rPr>
        <w:t xml:space="preserve">lo que </w:t>
      </w:r>
      <w:r w:rsidRPr="00240B00">
        <w:rPr>
          <w:rFonts w:ascii="Calibri" w:hAnsi="Calibri"/>
        </w:rPr>
        <w:t>representa un</w:t>
      </w:r>
      <w:r w:rsidR="00CF0C80" w:rsidRPr="00240B00">
        <w:rPr>
          <w:rFonts w:ascii="Calibri" w:hAnsi="Calibri"/>
        </w:rPr>
        <w:t>a mejora notable</w:t>
      </w:r>
      <w:r w:rsidR="00A10A3C" w:rsidRPr="00240B00">
        <w:rPr>
          <w:rFonts w:ascii="Calibri" w:hAnsi="Calibri"/>
        </w:rPr>
        <w:t xml:space="preserve"> </w:t>
      </w:r>
      <w:r w:rsidR="00CF0C80" w:rsidRPr="00240B00">
        <w:rPr>
          <w:rFonts w:ascii="Calibri" w:hAnsi="Calibri"/>
        </w:rPr>
        <w:t>respecto de</w:t>
      </w:r>
      <w:r w:rsidRPr="00240B00">
        <w:rPr>
          <w:rFonts w:ascii="Calibri" w:hAnsi="Calibri"/>
        </w:rPr>
        <w:t xml:space="preserve">l </w:t>
      </w:r>
      <w:r w:rsidR="00072F5C" w:rsidRPr="00240B00">
        <w:rPr>
          <w:rFonts w:ascii="Calibri" w:hAnsi="Calibri"/>
        </w:rPr>
        <w:t>défic</w:t>
      </w:r>
      <w:r w:rsidRPr="00240B00">
        <w:rPr>
          <w:rFonts w:ascii="Calibri" w:hAnsi="Calibri"/>
        </w:rPr>
        <w:t>it alcanzado en 201</w:t>
      </w:r>
      <w:r w:rsidR="00CF0C80" w:rsidRPr="00240B00">
        <w:rPr>
          <w:rFonts w:ascii="Calibri" w:hAnsi="Calibri"/>
        </w:rPr>
        <w:t>9</w:t>
      </w:r>
      <w:r w:rsidRPr="00240B00">
        <w:rPr>
          <w:rFonts w:ascii="Calibri" w:hAnsi="Calibri"/>
        </w:rPr>
        <w:t xml:space="preserve"> (</w:t>
      </w:r>
      <w:r w:rsidR="000211ED">
        <w:rPr>
          <w:rFonts w:ascii="Calibri" w:hAnsi="Calibri"/>
        </w:rPr>
        <w:t xml:space="preserve">$ </w:t>
      </w:r>
      <w:r w:rsidR="00CF0C80" w:rsidRPr="00240B00">
        <w:rPr>
          <w:rFonts w:ascii="Calibri" w:hAnsi="Calibri"/>
        </w:rPr>
        <w:t>29.207</w:t>
      </w:r>
      <w:r w:rsidRPr="00240B00">
        <w:rPr>
          <w:rFonts w:ascii="Calibri" w:hAnsi="Calibri"/>
        </w:rPr>
        <w:t xml:space="preserve"> millones</w:t>
      </w:r>
      <w:r w:rsidR="001475FC">
        <w:rPr>
          <w:rFonts w:ascii="Calibri" w:hAnsi="Calibri"/>
        </w:rPr>
        <w:t xml:space="preserve">). </w:t>
      </w:r>
      <w:r w:rsidRPr="00240B00">
        <w:rPr>
          <w:rFonts w:ascii="Calibri" w:hAnsi="Calibri"/>
        </w:rPr>
        <w:t xml:space="preserve">El Resultado Primario del cuarto trimestre </w:t>
      </w:r>
      <w:r w:rsidR="00240B00" w:rsidRPr="00240B00">
        <w:rPr>
          <w:rFonts w:ascii="Calibri" w:hAnsi="Calibri"/>
        </w:rPr>
        <w:t xml:space="preserve">de </w:t>
      </w:r>
      <w:r w:rsidRPr="00240B00">
        <w:rPr>
          <w:rFonts w:ascii="Calibri" w:hAnsi="Calibri"/>
        </w:rPr>
        <w:t>20</w:t>
      </w:r>
      <w:r w:rsidR="00240B00" w:rsidRPr="00240B00">
        <w:rPr>
          <w:rFonts w:ascii="Calibri" w:hAnsi="Calibri"/>
        </w:rPr>
        <w:t>20</w:t>
      </w:r>
      <w:r w:rsidRPr="00240B00">
        <w:rPr>
          <w:rFonts w:ascii="Calibri" w:hAnsi="Calibri"/>
        </w:rPr>
        <w:t xml:space="preserve"> </w:t>
      </w:r>
      <w:r w:rsidR="00240B00" w:rsidRPr="00240B00">
        <w:rPr>
          <w:rFonts w:ascii="Calibri" w:hAnsi="Calibri"/>
        </w:rPr>
        <w:t xml:space="preserve">desmejora respecto de 2019, </w:t>
      </w:r>
      <w:r w:rsidR="00654C2B">
        <w:rPr>
          <w:rFonts w:ascii="Calibri" w:hAnsi="Calibri"/>
        </w:rPr>
        <w:t>a pesar de</w:t>
      </w:r>
      <w:r w:rsidRPr="00240B00">
        <w:rPr>
          <w:rFonts w:ascii="Calibri" w:hAnsi="Calibri"/>
        </w:rPr>
        <w:t xml:space="preserve"> </w:t>
      </w:r>
      <w:r w:rsidR="00240B00" w:rsidRPr="00240B00">
        <w:rPr>
          <w:rFonts w:ascii="Calibri" w:hAnsi="Calibri"/>
        </w:rPr>
        <w:t>la significativa disminución en el pago de rentas de la propiedad, alcanzando</w:t>
      </w:r>
      <w:r w:rsidRPr="00240B00">
        <w:rPr>
          <w:rFonts w:ascii="Calibri" w:hAnsi="Calibri"/>
        </w:rPr>
        <w:t xml:space="preserve"> un desequilibrio de </w:t>
      </w:r>
      <w:r w:rsidR="000211ED">
        <w:rPr>
          <w:rFonts w:ascii="Calibri" w:hAnsi="Calibri"/>
        </w:rPr>
        <w:t xml:space="preserve">      $ </w:t>
      </w:r>
      <w:r w:rsidR="00240B00" w:rsidRPr="00240B00">
        <w:rPr>
          <w:rFonts w:ascii="Calibri" w:hAnsi="Calibri"/>
        </w:rPr>
        <w:t>114.066</w:t>
      </w:r>
      <w:r w:rsidR="00C3370E" w:rsidRPr="00240B00">
        <w:rPr>
          <w:rFonts w:ascii="Calibri" w:hAnsi="Calibri"/>
        </w:rPr>
        <w:t xml:space="preserve"> </w:t>
      </w:r>
      <w:r w:rsidRPr="00240B00">
        <w:rPr>
          <w:rFonts w:ascii="Calibri" w:hAnsi="Calibri"/>
        </w:rPr>
        <w:t xml:space="preserve">millones, </w:t>
      </w:r>
      <w:r w:rsidR="00240B00" w:rsidRPr="00240B00">
        <w:rPr>
          <w:rFonts w:ascii="Calibri" w:hAnsi="Calibri"/>
        </w:rPr>
        <w:t>frente</w:t>
      </w:r>
      <w:r w:rsidRPr="00240B00">
        <w:rPr>
          <w:rFonts w:ascii="Calibri" w:hAnsi="Calibri"/>
        </w:rPr>
        <w:t xml:space="preserve"> a</w:t>
      </w:r>
      <w:r w:rsidR="00654C2B">
        <w:rPr>
          <w:rFonts w:ascii="Calibri" w:hAnsi="Calibri"/>
        </w:rPr>
        <w:t>l saldo deficitario de</w:t>
      </w:r>
      <w:r w:rsidRPr="00240B00">
        <w:rPr>
          <w:rFonts w:ascii="Calibri" w:hAnsi="Calibri"/>
        </w:rPr>
        <w:t xml:space="preserve"> </w:t>
      </w:r>
      <w:r w:rsidR="000211ED">
        <w:rPr>
          <w:rFonts w:ascii="Calibri" w:hAnsi="Calibri"/>
        </w:rPr>
        <w:t xml:space="preserve">$ </w:t>
      </w:r>
      <w:r w:rsidR="00240B00" w:rsidRPr="00240B00">
        <w:rPr>
          <w:rFonts w:ascii="Calibri" w:hAnsi="Calibri"/>
        </w:rPr>
        <w:t>78.802</w:t>
      </w:r>
      <w:r w:rsidRPr="00240B00">
        <w:rPr>
          <w:rFonts w:ascii="Calibri" w:hAnsi="Calibri"/>
        </w:rPr>
        <w:t xml:space="preserve"> millones</w:t>
      </w:r>
      <w:r w:rsidR="00240B00" w:rsidRPr="00240B00">
        <w:rPr>
          <w:rFonts w:ascii="Calibri" w:hAnsi="Calibri"/>
        </w:rPr>
        <w:t xml:space="preserve"> de 2019</w:t>
      </w:r>
      <w:r w:rsidRPr="00240B00">
        <w:rPr>
          <w:rFonts w:ascii="Calibri" w:hAnsi="Calibri"/>
        </w:rPr>
        <w:t>.</w:t>
      </w:r>
    </w:p>
    <w:p w:rsidR="007D19B2" w:rsidRPr="001A0D1D" w:rsidRDefault="007D19B2" w:rsidP="007D19B2">
      <w:pPr>
        <w:suppressAutoHyphens/>
        <w:jc w:val="both"/>
        <w:rPr>
          <w:rFonts w:ascii="Calibri" w:hAnsi="Calibri"/>
        </w:rPr>
      </w:pPr>
    </w:p>
    <w:p w:rsidR="009D62F2" w:rsidRDefault="001A2CC0" w:rsidP="00CF0C80">
      <w:pPr>
        <w:suppressAutoHyphens/>
        <w:jc w:val="both"/>
        <w:rPr>
          <w:rFonts w:ascii="Calibri" w:hAnsi="Calibri"/>
        </w:rPr>
      </w:pPr>
      <w:r w:rsidRPr="00791D4F">
        <w:rPr>
          <w:rFonts w:ascii="Calibri" w:hAnsi="Calibri"/>
        </w:rPr>
        <w:t>Entre l</w:t>
      </w:r>
      <w:r w:rsidR="00CF0C80" w:rsidRPr="00791D4F">
        <w:rPr>
          <w:rFonts w:ascii="Calibri" w:hAnsi="Calibri"/>
        </w:rPr>
        <w:t xml:space="preserve">os factores </w:t>
      </w:r>
      <w:r w:rsidRPr="00791D4F">
        <w:rPr>
          <w:rFonts w:ascii="Calibri" w:hAnsi="Calibri"/>
        </w:rPr>
        <w:t xml:space="preserve">que </w:t>
      </w:r>
      <w:r w:rsidR="00CF0C80" w:rsidRPr="00791D4F">
        <w:rPr>
          <w:rFonts w:ascii="Calibri" w:hAnsi="Calibri"/>
        </w:rPr>
        <w:t>contribuyen a explicar la desmejora general en los indicadores de desempeño fiscal del IV trimestre de 20</w:t>
      </w:r>
      <w:r w:rsidR="001475FC" w:rsidRPr="00791D4F">
        <w:rPr>
          <w:rFonts w:ascii="Calibri" w:hAnsi="Calibri"/>
        </w:rPr>
        <w:t>20</w:t>
      </w:r>
      <w:r w:rsidR="00CF0C80" w:rsidRPr="00791D4F">
        <w:rPr>
          <w:rFonts w:ascii="Calibri" w:hAnsi="Calibri"/>
        </w:rPr>
        <w:t xml:space="preserve"> respecto de 201</w:t>
      </w:r>
      <w:r w:rsidR="001475FC" w:rsidRPr="00791D4F">
        <w:rPr>
          <w:rFonts w:ascii="Calibri" w:hAnsi="Calibri"/>
        </w:rPr>
        <w:t>9</w:t>
      </w:r>
      <w:r w:rsidRPr="00791D4F">
        <w:rPr>
          <w:rFonts w:ascii="Calibri" w:hAnsi="Calibri"/>
        </w:rPr>
        <w:t>, puede mencionarse la diferencia absoluta entre gastos y recursos, que por su magnitud no puede ser compensada por los diferenciales de crecimiento relativo de los ingresos, respecto de los gastos</w:t>
      </w:r>
      <w:r w:rsidR="00D769C9" w:rsidRPr="00791D4F">
        <w:rPr>
          <w:rFonts w:ascii="Calibri" w:hAnsi="Calibri"/>
        </w:rPr>
        <w:t xml:space="preserve">. </w:t>
      </w:r>
      <w:r w:rsidRPr="00791D4F">
        <w:rPr>
          <w:rFonts w:ascii="Calibri" w:hAnsi="Calibri"/>
        </w:rPr>
        <w:t>De este modo se incrementa</w:t>
      </w:r>
      <w:r w:rsidR="00CF0C80" w:rsidRPr="00791D4F">
        <w:rPr>
          <w:rFonts w:ascii="Calibri" w:hAnsi="Calibri"/>
        </w:rPr>
        <w:t xml:space="preserve"> la brecha del Resultado </w:t>
      </w:r>
      <w:r w:rsidRPr="00791D4F">
        <w:rPr>
          <w:rFonts w:ascii="Calibri" w:hAnsi="Calibri"/>
        </w:rPr>
        <w:t xml:space="preserve">Financiero </w:t>
      </w:r>
      <w:r w:rsidR="00CF0C80" w:rsidRPr="00791D4F">
        <w:rPr>
          <w:rFonts w:ascii="Calibri" w:hAnsi="Calibri"/>
        </w:rPr>
        <w:t xml:space="preserve">en términos absolutos. En lo que refiere a los ingresos, </w:t>
      </w:r>
      <w:r w:rsidR="00D769C9" w:rsidRPr="00791D4F">
        <w:rPr>
          <w:rFonts w:ascii="Calibri" w:hAnsi="Calibri"/>
        </w:rPr>
        <w:t>el fuerte incremento en las</w:t>
      </w:r>
      <w:r w:rsidR="00CF0C80" w:rsidRPr="00791D4F">
        <w:rPr>
          <w:rFonts w:ascii="Calibri" w:hAnsi="Calibri"/>
        </w:rPr>
        <w:t xml:space="preserve"> Transferencias </w:t>
      </w:r>
      <w:r w:rsidR="00D769C9" w:rsidRPr="00791D4F">
        <w:rPr>
          <w:rFonts w:ascii="Calibri" w:hAnsi="Calibri"/>
        </w:rPr>
        <w:t>C</w:t>
      </w:r>
      <w:r w:rsidR="00566C03" w:rsidRPr="00791D4F">
        <w:rPr>
          <w:rFonts w:ascii="Calibri" w:hAnsi="Calibri"/>
        </w:rPr>
        <w:t>orrientes, sumado a la mayor recaudación del Impuesto a los Bienes Personales, representan los rubros de desempeño más positivo</w:t>
      </w:r>
      <w:r w:rsidR="00CF0C80" w:rsidRPr="00791D4F">
        <w:rPr>
          <w:rFonts w:ascii="Calibri" w:hAnsi="Calibri"/>
        </w:rPr>
        <w:t>.</w:t>
      </w:r>
    </w:p>
    <w:p w:rsidR="009D62F2" w:rsidRDefault="009D62F2" w:rsidP="00CF0C80">
      <w:pPr>
        <w:suppressAutoHyphens/>
        <w:jc w:val="both"/>
        <w:rPr>
          <w:rFonts w:ascii="Calibri" w:hAnsi="Calibri"/>
        </w:rPr>
      </w:pPr>
    </w:p>
    <w:p w:rsidR="00CF0C80" w:rsidRPr="001A0D1D" w:rsidRDefault="00CF0C80" w:rsidP="00CF0C80">
      <w:pPr>
        <w:suppressAutoHyphens/>
        <w:jc w:val="both"/>
        <w:rPr>
          <w:rFonts w:ascii="Calibri" w:hAnsi="Calibri"/>
        </w:rPr>
      </w:pPr>
      <w:r w:rsidRPr="00791D4F">
        <w:rPr>
          <w:rFonts w:ascii="Calibri" w:hAnsi="Calibri"/>
        </w:rPr>
        <w:t xml:space="preserve">Por el lado del gasto, </w:t>
      </w:r>
      <w:r w:rsidR="00896AC3" w:rsidRPr="00791D4F">
        <w:rPr>
          <w:rFonts w:ascii="Calibri" w:hAnsi="Calibri"/>
        </w:rPr>
        <w:t>los moderados</w:t>
      </w:r>
      <w:r w:rsidRPr="00791D4F">
        <w:rPr>
          <w:rFonts w:ascii="Calibri" w:hAnsi="Calibri"/>
        </w:rPr>
        <w:t xml:space="preserve"> aumentos salariales</w:t>
      </w:r>
      <w:r w:rsidR="00896AC3" w:rsidRPr="00791D4F">
        <w:rPr>
          <w:rFonts w:ascii="Calibri" w:hAnsi="Calibri"/>
        </w:rPr>
        <w:t>, que afectan las consecuencias del</w:t>
      </w:r>
      <w:r w:rsidRPr="00791D4F">
        <w:rPr>
          <w:rFonts w:ascii="Calibri" w:hAnsi="Calibri"/>
        </w:rPr>
        <w:t xml:space="preserve"> desfasaje inflacionario</w:t>
      </w:r>
      <w:r w:rsidR="00896AC3" w:rsidRPr="00791D4F">
        <w:rPr>
          <w:rFonts w:ascii="Calibri" w:hAnsi="Calibri"/>
        </w:rPr>
        <w:t xml:space="preserve">, así como la disminución del pago de </w:t>
      </w:r>
      <w:r w:rsidR="00791D4F">
        <w:rPr>
          <w:rFonts w:ascii="Calibri" w:hAnsi="Calibri"/>
        </w:rPr>
        <w:t>I</w:t>
      </w:r>
      <w:r w:rsidR="00896AC3" w:rsidRPr="00791D4F">
        <w:rPr>
          <w:rFonts w:ascii="Calibri" w:hAnsi="Calibri"/>
        </w:rPr>
        <w:t xml:space="preserve">ntereses de la </w:t>
      </w:r>
      <w:r w:rsidR="00791D4F">
        <w:rPr>
          <w:rFonts w:ascii="Calibri" w:hAnsi="Calibri"/>
        </w:rPr>
        <w:t>D</w:t>
      </w:r>
      <w:r w:rsidR="00896AC3" w:rsidRPr="00791D4F">
        <w:rPr>
          <w:rFonts w:ascii="Calibri" w:hAnsi="Calibri"/>
        </w:rPr>
        <w:t>euda, por efecto de las re</w:t>
      </w:r>
      <w:r w:rsidR="00790922">
        <w:rPr>
          <w:rFonts w:ascii="Calibri" w:hAnsi="Calibri"/>
        </w:rPr>
        <w:t>estructur</w:t>
      </w:r>
      <w:r w:rsidR="00896AC3" w:rsidRPr="00791D4F">
        <w:rPr>
          <w:rFonts w:ascii="Calibri" w:hAnsi="Calibri"/>
        </w:rPr>
        <w:t xml:space="preserve">aciones encaradas por las respectivas jurisdicciones, no alcanzan a compensar el efecto de las mayores </w:t>
      </w:r>
      <w:r w:rsidR="00791D4F">
        <w:rPr>
          <w:rFonts w:ascii="Calibri" w:hAnsi="Calibri"/>
        </w:rPr>
        <w:t>T</w:t>
      </w:r>
      <w:r w:rsidR="00896AC3" w:rsidRPr="00791D4F">
        <w:rPr>
          <w:rFonts w:ascii="Calibri" w:hAnsi="Calibri"/>
        </w:rPr>
        <w:t xml:space="preserve">ransferencias a familias, empresas y municipios en general, tanto </w:t>
      </w:r>
      <w:r w:rsidR="00791D4F">
        <w:rPr>
          <w:rFonts w:ascii="Calibri" w:hAnsi="Calibri"/>
        </w:rPr>
        <w:t>C</w:t>
      </w:r>
      <w:r w:rsidR="00896AC3" w:rsidRPr="00791D4F">
        <w:rPr>
          <w:rFonts w:ascii="Calibri" w:hAnsi="Calibri"/>
        </w:rPr>
        <w:t>orrientes como</w:t>
      </w:r>
      <w:r w:rsidR="00896AC3">
        <w:rPr>
          <w:rFonts w:ascii="Calibri" w:hAnsi="Calibri"/>
        </w:rPr>
        <w:t xml:space="preserve"> </w:t>
      </w:r>
      <w:r w:rsidR="00896AC3" w:rsidRPr="00791D4F">
        <w:rPr>
          <w:rFonts w:ascii="Calibri" w:hAnsi="Calibri"/>
        </w:rPr>
        <w:lastRenderedPageBreak/>
        <w:t xml:space="preserve">de </w:t>
      </w:r>
      <w:r w:rsidR="00791D4F">
        <w:rPr>
          <w:rFonts w:ascii="Calibri" w:hAnsi="Calibri"/>
        </w:rPr>
        <w:t>C</w:t>
      </w:r>
      <w:r w:rsidR="00896AC3" w:rsidRPr="00791D4F">
        <w:rPr>
          <w:rFonts w:ascii="Calibri" w:hAnsi="Calibri"/>
        </w:rPr>
        <w:t>apital.</w:t>
      </w:r>
      <w:r w:rsidRPr="00791D4F">
        <w:rPr>
          <w:rFonts w:ascii="Calibri" w:hAnsi="Calibri"/>
        </w:rPr>
        <w:t xml:space="preserve"> E</w:t>
      </w:r>
      <w:r w:rsidR="00791D4F" w:rsidRPr="00791D4F">
        <w:rPr>
          <w:rFonts w:ascii="Calibri" w:hAnsi="Calibri"/>
        </w:rPr>
        <w:t>l Resultado Financiero</w:t>
      </w:r>
      <w:r w:rsidRPr="00791D4F">
        <w:rPr>
          <w:rFonts w:ascii="Calibri" w:hAnsi="Calibri"/>
        </w:rPr>
        <w:t xml:space="preserve"> </w:t>
      </w:r>
      <w:r w:rsidR="00791D4F" w:rsidRPr="00791D4F">
        <w:rPr>
          <w:rFonts w:ascii="Calibri" w:hAnsi="Calibri"/>
        </w:rPr>
        <w:t>deficitario alcanza entonces a</w:t>
      </w:r>
      <w:r w:rsidRPr="00791D4F">
        <w:rPr>
          <w:rFonts w:ascii="Calibri" w:hAnsi="Calibri"/>
        </w:rPr>
        <w:t xml:space="preserve"> </w:t>
      </w:r>
      <w:r w:rsidR="000211ED">
        <w:rPr>
          <w:rFonts w:ascii="Calibri" w:hAnsi="Calibri"/>
        </w:rPr>
        <w:t xml:space="preserve">$ </w:t>
      </w:r>
      <w:r w:rsidR="00791D4F" w:rsidRPr="00791D4F">
        <w:rPr>
          <w:rFonts w:ascii="Calibri" w:hAnsi="Calibri"/>
        </w:rPr>
        <w:t>148.296</w:t>
      </w:r>
      <w:r w:rsidRPr="00791D4F">
        <w:rPr>
          <w:rFonts w:ascii="Calibri" w:hAnsi="Calibri"/>
        </w:rPr>
        <w:t xml:space="preserve"> millones, </w:t>
      </w:r>
      <w:r w:rsidR="00791D4F" w:rsidRPr="00791D4F">
        <w:rPr>
          <w:rFonts w:ascii="Calibri" w:hAnsi="Calibri"/>
        </w:rPr>
        <w:t>lo que representa</w:t>
      </w:r>
      <w:r w:rsidRPr="00791D4F">
        <w:rPr>
          <w:rFonts w:ascii="Calibri" w:hAnsi="Calibri"/>
        </w:rPr>
        <w:t xml:space="preserve"> una desmejora de 1</w:t>
      </w:r>
      <w:r w:rsidR="00791D4F" w:rsidRPr="00791D4F">
        <w:rPr>
          <w:rFonts w:ascii="Calibri" w:hAnsi="Calibri"/>
        </w:rPr>
        <w:t>1</w:t>
      </w:r>
      <w:r w:rsidRPr="00791D4F">
        <w:rPr>
          <w:rFonts w:ascii="Calibri" w:hAnsi="Calibri"/>
        </w:rPr>
        <w:t>,0</w:t>
      </w:r>
      <w:r w:rsidR="000211ED">
        <w:rPr>
          <w:rFonts w:ascii="Calibri" w:hAnsi="Calibri"/>
        </w:rPr>
        <w:t>%</w:t>
      </w:r>
      <w:r w:rsidRPr="00791D4F">
        <w:rPr>
          <w:rFonts w:ascii="Calibri" w:hAnsi="Calibri"/>
        </w:rPr>
        <w:t xml:space="preserve"> respecto del déficit registrado en idéntico período de 201</w:t>
      </w:r>
      <w:r w:rsidR="00791D4F" w:rsidRPr="00791D4F">
        <w:rPr>
          <w:rFonts w:ascii="Calibri" w:hAnsi="Calibri"/>
        </w:rPr>
        <w:t>9</w:t>
      </w:r>
      <w:r w:rsidRPr="00791D4F">
        <w:rPr>
          <w:rFonts w:ascii="Calibri" w:hAnsi="Calibri"/>
        </w:rPr>
        <w:t>.</w:t>
      </w:r>
    </w:p>
    <w:p w:rsidR="00CF0C80" w:rsidRPr="001A0D1D" w:rsidRDefault="00CF0C80" w:rsidP="00CF0C80">
      <w:pPr>
        <w:suppressAutoHyphens/>
        <w:jc w:val="both"/>
        <w:rPr>
          <w:rFonts w:ascii="Calibri" w:hAnsi="Calibri"/>
        </w:rPr>
      </w:pPr>
    </w:p>
    <w:p w:rsidR="0082736B" w:rsidRDefault="0082736B" w:rsidP="0082736B">
      <w:pPr>
        <w:suppressAutoHyphens/>
        <w:ind w:left="851" w:right="850"/>
        <w:jc w:val="center"/>
        <w:rPr>
          <w:rFonts w:ascii="Calibri" w:hAnsi="Calibri"/>
        </w:rPr>
      </w:pPr>
      <w:r w:rsidRPr="00F133D6">
        <w:rPr>
          <w:rFonts w:ascii="Calibri" w:hAnsi="Calibri"/>
          <w:b/>
        </w:rPr>
        <w:t xml:space="preserve">Cuadro </w:t>
      </w:r>
      <w:r>
        <w:rPr>
          <w:rFonts w:ascii="Calibri" w:hAnsi="Calibri"/>
          <w:b/>
        </w:rPr>
        <w:t>1</w:t>
      </w:r>
      <w:r w:rsidRPr="00F133D6">
        <w:rPr>
          <w:rFonts w:ascii="Calibri" w:hAnsi="Calibri"/>
          <w:b/>
        </w:rPr>
        <w:t>.</w:t>
      </w:r>
      <w:r w:rsidRPr="00F133D6">
        <w:rPr>
          <w:rFonts w:ascii="Calibri" w:hAnsi="Calibri"/>
        </w:rPr>
        <w:t xml:space="preserve"> </w:t>
      </w:r>
      <w:r>
        <w:rPr>
          <w:rFonts w:ascii="Calibri" w:hAnsi="Calibri"/>
        </w:rPr>
        <w:t>Principales Resultados</w:t>
      </w:r>
      <w:r w:rsidRPr="00F133D6">
        <w:rPr>
          <w:rFonts w:ascii="Calibri" w:hAnsi="Calibri"/>
        </w:rPr>
        <w:t xml:space="preserve"> de la APNF. </w:t>
      </w:r>
      <w:r>
        <w:rPr>
          <w:rFonts w:ascii="Calibri" w:hAnsi="Calibri"/>
        </w:rPr>
        <w:t>B</w:t>
      </w:r>
      <w:r w:rsidRPr="00F133D6">
        <w:rPr>
          <w:rFonts w:ascii="Calibri" w:hAnsi="Calibri"/>
        </w:rPr>
        <w:t>ase devengado</w:t>
      </w:r>
      <w:r>
        <w:rPr>
          <w:rFonts w:ascii="Calibri" w:hAnsi="Calibri"/>
        </w:rPr>
        <w:t>.</w:t>
      </w:r>
    </w:p>
    <w:p w:rsidR="0082736B" w:rsidRPr="00F133D6" w:rsidRDefault="0082736B" w:rsidP="0082736B">
      <w:pPr>
        <w:suppressAutoHyphens/>
        <w:jc w:val="center"/>
        <w:rPr>
          <w:rFonts w:ascii="Calibri" w:hAnsi="Calibri"/>
        </w:rPr>
      </w:pPr>
      <w:r>
        <w:rPr>
          <w:rFonts w:ascii="Calibri" w:hAnsi="Calibri"/>
        </w:rPr>
        <w:t>Comparativo IV Trimestre 2020-2019</w:t>
      </w:r>
    </w:p>
    <w:p w:rsidR="0082736B" w:rsidRPr="00D342BB" w:rsidRDefault="0082736B" w:rsidP="0082736B">
      <w:pPr>
        <w:suppressAutoHyphens/>
        <w:spacing w:after="120"/>
        <w:jc w:val="center"/>
        <w:rPr>
          <w:rFonts w:ascii="Calibri" w:hAnsi="Calibri"/>
        </w:rPr>
      </w:pPr>
      <w:r w:rsidRPr="00D342BB">
        <w:rPr>
          <w:rFonts w:ascii="Calibri" w:hAnsi="Calibri"/>
        </w:rPr>
        <w:t>En millones de pesos</w:t>
      </w:r>
    </w:p>
    <w:p w:rsidR="007D19B2" w:rsidRPr="006270C0" w:rsidRDefault="009D7CB2" w:rsidP="007D19B2">
      <w:pPr>
        <w:suppressAutoHyphens/>
        <w:jc w:val="center"/>
        <w:rPr>
          <w:rFonts w:ascii="Calibri" w:hAnsi="Calibri"/>
        </w:rPr>
      </w:pPr>
      <w:r w:rsidRPr="0082736B">
        <w:rPr>
          <w:noProof/>
          <w:lang w:val="es-AR" w:eastAsia="es-AR"/>
        </w:rPr>
        <w:drawing>
          <wp:inline distT="0" distB="0" distL="0" distR="0">
            <wp:extent cx="4800600" cy="1531620"/>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00600" cy="1531620"/>
                    </a:xfrm>
                    <a:prstGeom prst="rect">
                      <a:avLst/>
                    </a:prstGeom>
                    <a:noFill/>
                    <a:ln>
                      <a:noFill/>
                    </a:ln>
                  </pic:spPr>
                </pic:pic>
              </a:graphicData>
            </a:graphic>
          </wp:inline>
        </w:drawing>
      </w:r>
    </w:p>
    <w:p w:rsidR="007D19B2" w:rsidRPr="001A0D1D" w:rsidRDefault="007D19B2" w:rsidP="00593E8A">
      <w:pPr>
        <w:suppressAutoHyphens/>
        <w:ind w:left="1134" w:right="425"/>
        <w:jc w:val="both"/>
        <w:rPr>
          <w:rFonts w:ascii="Calibri" w:hAnsi="Calibri"/>
          <w:sz w:val="20"/>
          <w:szCs w:val="20"/>
        </w:rPr>
      </w:pPr>
      <w:r w:rsidRPr="001A0D1D">
        <w:rPr>
          <w:rFonts w:ascii="Calibri" w:hAnsi="Calibri"/>
          <w:b/>
          <w:sz w:val="20"/>
          <w:szCs w:val="20"/>
        </w:rPr>
        <w:t>Fuente</w:t>
      </w:r>
      <w:r w:rsidRPr="001A0D1D">
        <w:rPr>
          <w:rFonts w:ascii="Calibri" w:hAnsi="Calibri"/>
          <w:sz w:val="20"/>
          <w:szCs w:val="20"/>
        </w:rPr>
        <w:t>: Secretaría de Hacienda en base información provista por las jurisdicciones</w:t>
      </w:r>
    </w:p>
    <w:p w:rsidR="007D19B2" w:rsidRDefault="007D19B2" w:rsidP="007D19B2">
      <w:pPr>
        <w:suppressAutoHyphens/>
        <w:jc w:val="both"/>
        <w:rPr>
          <w:rFonts w:ascii="Calibri" w:hAnsi="Calibri"/>
        </w:rPr>
      </w:pPr>
    </w:p>
    <w:p w:rsidR="00E71E87" w:rsidRPr="001A0D1D" w:rsidRDefault="00E71E87" w:rsidP="007D19B2">
      <w:pPr>
        <w:suppressAutoHyphens/>
        <w:jc w:val="both"/>
        <w:rPr>
          <w:rFonts w:ascii="Calibri" w:hAnsi="Calibri"/>
        </w:rPr>
      </w:pPr>
    </w:p>
    <w:p w:rsidR="007D19B2" w:rsidRPr="00C668B6" w:rsidRDefault="00C32085" w:rsidP="00C668B6">
      <w:pPr>
        <w:pStyle w:val="Ttulo1"/>
        <w:numPr>
          <w:ilvl w:val="0"/>
          <w:numId w:val="0"/>
        </w:numPr>
        <w:pBdr>
          <w:bottom w:val="single" w:sz="4" w:space="1" w:color="auto"/>
        </w:pBdr>
        <w:suppressAutoHyphens/>
        <w:spacing w:before="0" w:after="0"/>
        <w:rPr>
          <w:rFonts w:ascii="Calibri" w:hAnsi="Calibri" w:cs="Times New Roman"/>
          <w:color w:val="595959"/>
          <w:sz w:val="28"/>
          <w:szCs w:val="28"/>
        </w:rPr>
      </w:pPr>
      <w:bookmarkStart w:id="5" w:name="_Toc99450865"/>
      <w:r w:rsidRPr="00C668B6">
        <w:rPr>
          <w:rFonts w:ascii="Calibri" w:hAnsi="Calibri" w:cs="Times New Roman"/>
          <w:color w:val="595959"/>
          <w:sz w:val="28"/>
          <w:szCs w:val="28"/>
        </w:rPr>
        <w:t>3</w:t>
      </w:r>
      <w:r w:rsidR="007D19B2" w:rsidRPr="00C668B6">
        <w:rPr>
          <w:rFonts w:ascii="Calibri" w:hAnsi="Calibri" w:cs="Times New Roman"/>
          <w:color w:val="595959"/>
          <w:sz w:val="28"/>
          <w:szCs w:val="28"/>
        </w:rPr>
        <w:t xml:space="preserve">. </w:t>
      </w:r>
      <w:r w:rsidRPr="00C668B6">
        <w:rPr>
          <w:rFonts w:ascii="Calibri" w:hAnsi="Calibri" w:cs="Times New Roman"/>
          <w:color w:val="595959"/>
          <w:sz w:val="28"/>
          <w:szCs w:val="28"/>
        </w:rPr>
        <w:t xml:space="preserve">RESULTADO </w:t>
      </w:r>
      <w:r w:rsidR="007D19B2" w:rsidRPr="00C668B6">
        <w:rPr>
          <w:rFonts w:ascii="Calibri" w:hAnsi="Calibri" w:cs="Times New Roman"/>
          <w:color w:val="595959"/>
          <w:sz w:val="28"/>
          <w:szCs w:val="28"/>
        </w:rPr>
        <w:t>ACUMULADO AL CUARTO TRIMESTRE 20</w:t>
      </w:r>
      <w:r w:rsidR="00532484">
        <w:rPr>
          <w:rFonts w:ascii="Calibri" w:hAnsi="Calibri" w:cs="Times New Roman"/>
          <w:color w:val="595959"/>
          <w:sz w:val="28"/>
          <w:szCs w:val="28"/>
        </w:rPr>
        <w:t>20</w:t>
      </w:r>
      <w:bookmarkEnd w:id="5"/>
    </w:p>
    <w:p w:rsidR="00091876" w:rsidRPr="001A0D1D" w:rsidRDefault="00091876" w:rsidP="00C32085">
      <w:pPr>
        <w:pBdr>
          <w:top w:val="single" w:sz="4" w:space="1" w:color="auto"/>
        </w:pBdr>
        <w:suppressAutoHyphens/>
        <w:jc w:val="both"/>
        <w:rPr>
          <w:rFonts w:ascii="Calibri" w:hAnsi="Calibri"/>
        </w:rPr>
      </w:pPr>
      <w:bookmarkStart w:id="6" w:name="_Toc456171754"/>
      <w:bookmarkStart w:id="7" w:name="_Toc456264207"/>
      <w:bookmarkStart w:id="8" w:name="_Toc456279046"/>
      <w:bookmarkStart w:id="9" w:name="_Toc472606858"/>
      <w:bookmarkStart w:id="10" w:name="_Toc472606942"/>
    </w:p>
    <w:bookmarkEnd w:id="6"/>
    <w:bookmarkEnd w:id="7"/>
    <w:bookmarkEnd w:id="8"/>
    <w:bookmarkEnd w:id="9"/>
    <w:bookmarkEnd w:id="10"/>
    <w:p w:rsidR="005C400A" w:rsidRDefault="004669AA" w:rsidP="007D19B2">
      <w:pPr>
        <w:suppressAutoHyphens/>
        <w:jc w:val="both"/>
        <w:rPr>
          <w:rFonts w:ascii="Calibri" w:hAnsi="Calibri"/>
        </w:rPr>
      </w:pPr>
      <w:r w:rsidRPr="00297D27">
        <w:rPr>
          <w:rFonts w:ascii="Calibri" w:hAnsi="Calibri"/>
        </w:rPr>
        <w:t>L</w:t>
      </w:r>
      <w:r w:rsidR="007D19B2" w:rsidRPr="00297D27">
        <w:rPr>
          <w:rFonts w:ascii="Calibri" w:hAnsi="Calibri"/>
        </w:rPr>
        <w:t xml:space="preserve">a ejecución acumulada al cierre </w:t>
      </w:r>
      <w:r w:rsidR="00FB70F0" w:rsidRPr="00297D27">
        <w:rPr>
          <w:rFonts w:ascii="Calibri" w:hAnsi="Calibri"/>
        </w:rPr>
        <w:t>del ejercicio</w:t>
      </w:r>
      <w:r w:rsidR="007D19B2" w:rsidRPr="00297D27">
        <w:rPr>
          <w:rFonts w:ascii="Calibri" w:hAnsi="Calibri"/>
        </w:rPr>
        <w:t xml:space="preserve"> </w:t>
      </w:r>
      <w:r w:rsidR="00FB70F0" w:rsidRPr="00297D27">
        <w:rPr>
          <w:rFonts w:ascii="Calibri" w:hAnsi="Calibri"/>
        </w:rPr>
        <w:t>muestra una mejora sensible</w:t>
      </w:r>
      <w:r w:rsidR="00B22ADC" w:rsidRPr="00297D27">
        <w:rPr>
          <w:rFonts w:ascii="Calibri" w:hAnsi="Calibri"/>
        </w:rPr>
        <w:t xml:space="preserve"> en todos los indicadores de resultado</w:t>
      </w:r>
      <w:r w:rsidRPr="00297D27">
        <w:rPr>
          <w:rFonts w:ascii="Calibri" w:hAnsi="Calibri"/>
        </w:rPr>
        <w:t xml:space="preserve">, </w:t>
      </w:r>
      <w:r w:rsidR="009D62F2">
        <w:rPr>
          <w:rFonts w:ascii="Calibri" w:hAnsi="Calibri"/>
        </w:rPr>
        <w:t>a pesar de</w:t>
      </w:r>
      <w:r w:rsidRPr="00297D27">
        <w:rPr>
          <w:rFonts w:ascii="Calibri" w:hAnsi="Calibri"/>
        </w:rPr>
        <w:t xml:space="preserve"> la desmejora fiscal comparativa en el Cuarto Trimestre de 2020</w:t>
      </w:r>
      <w:r w:rsidR="00B22ADC" w:rsidRPr="00297D27">
        <w:rPr>
          <w:rFonts w:ascii="Calibri" w:hAnsi="Calibri"/>
        </w:rPr>
        <w:t>. En efecto, e</w:t>
      </w:r>
      <w:r w:rsidR="007D19B2" w:rsidRPr="00297D27">
        <w:rPr>
          <w:rFonts w:ascii="Calibri" w:hAnsi="Calibri"/>
        </w:rPr>
        <w:t xml:space="preserve">l </w:t>
      </w:r>
      <w:r w:rsidR="00FB70F0" w:rsidRPr="00297D27">
        <w:rPr>
          <w:rFonts w:ascii="Calibri" w:hAnsi="Calibri"/>
        </w:rPr>
        <w:t>R</w:t>
      </w:r>
      <w:r w:rsidR="007D19B2" w:rsidRPr="00297D27">
        <w:rPr>
          <w:rFonts w:ascii="Calibri" w:hAnsi="Calibri"/>
        </w:rPr>
        <w:t xml:space="preserve">esultado </w:t>
      </w:r>
      <w:r w:rsidR="00FB70F0" w:rsidRPr="00297D27">
        <w:rPr>
          <w:rFonts w:ascii="Calibri" w:hAnsi="Calibri"/>
        </w:rPr>
        <w:t>E</w:t>
      </w:r>
      <w:r w:rsidR="007D19B2" w:rsidRPr="00297D27">
        <w:rPr>
          <w:rFonts w:ascii="Calibri" w:hAnsi="Calibri"/>
        </w:rPr>
        <w:t>conómico</w:t>
      </w:r>
      <w:r w:rsidR="00B22ADC" w:rsidRPr="00297D27">
        <w:rPr>
          <w:rFonts w:ascii="Calibri" w:hAnsi="Calibri"/>
        </w:rPr>
        <w:t xml:space="preserve"> </w:t>
      </w:r>
      <w:r w:rsidR="00FB70F0" w:rsidRPr="00297D27">
        <w:rPr>
          <w:rFonts w:ascii="Calibri" w:hAnsi="Calibri"/>
        </w:rPr>
        <w:t>se incrementa</w:t>
      </w:r>
      <w:r w:rsidR="00B22ADC" w:rsidRPr="00297D27">
        <w:rPr>
          <w:rFonts w:ascii="Calibri" w:hAnsi="Calibri"/>
        </w:rPr>
        <w:t xml:space="preserve"> </w:t>
      </w:r>
      <w:r w:rsidR="00FB70F0" w:rsidRPr="00297D27">
        <w:rPr>
          <w:rFonts w:ascii="Calibri" w:hAnsi="Calibri"/>
        </w:rPr>
        <w:t>52,4</w:t>
      </w:r>
      <w:r w:rsidR="000211ED">
        <w:rPr>
          <w:rFonts w:ascii="Calibri" w:hAnsi="Calibri"/>
        </w:rPr>
        <w:t>%</w:t>
      </w:r>
      <w:r w:rsidR="00B22ADC" w:rsidRPr="00297D27">
        <w:rPr>
          <w:rFonts w:ascii="Calibri" w:hAnsi="Calibri"/>
        </w:rPr>
        <w:t xml:space="preserve"> respecto d</w:t>
      </w:r>
      <w:r w:rsidR="007D19B2" w:rsidRPr="00297D27">
        <w:rPr>
          <w:rFonts w:ascii="Calibri" w:hAnsi="Calibri"/>
        </w:rPr>
        <w:t>el saldo alcanzado en 201</w:t>
      </w:r>
      <w:r w:rsidR="00FB70F0" w:rsidRPr="00297D27">
        <w:rPr>
          <w:rFonts w:ascii="Calibri" w:hAnsi="Calibri"/>
        </w:rPr>
        <w:t>9</w:t>
      </w:r>
      <w:r w:rsidR="00B22ADC" w:rsidRPr="00297D27">
        <w:rPr>
          <w:rFonts w:ascii="Calibri" w:hAnsi="Calibri"/>
        </w:rPr>
        <w:t xml:space="preserve">, </w:t>
      </w:r>
      <w:r w:rsidRPr="00297D27">
        <w:rPr>
          <w:rFonts w:ascii="Calibri" w:hAnsi="Calibri"/>
        </w:rPr>
        <w:t xml:space="preserve">lo que refleja el esfuerzo de </w:t>
      </w:r>
      <w:r w:rsidR="00B22ADC" w:rsidRPr="00297D27">
        <w:rPr>
          <w:rFonts w:ascii="Calibri" w:hAnsi="Calibri"/>
        </w:rPr>
        <w:t xml:space="preserve">las Provincias y Ciudad de Buenos Aires para </w:t>
      </w:r>
      <w:r w:rsidRPr="00297D27">
        <w:rPr>
          <w:rFonts w:ascii="Calibri" w:hAnsi="Calibri"/>
        </w:rPr>
        <w:t>converger a un desempeño fiscal más cercano al equilibrio en el contexto de emergencia sanitaria ya mencionado</w:t>
      </w:r>
      <w:r w:rsidR="00B22ADC" w:rsidRPr="00297D27">
        <w:rPr>
          <w:rFonts w:ascii="Calibri" w:hAnsi="Calibri"/>
        </w:rPr>
        <w:t>.</w:t>
      </w:r>
    </w:p>
    <w:p w:rsidR="005C400A" w:rsidRDefault="005C400A" w:rsidP="007D19B2">
      <w:pPr>
        <w:suppressAutoHyphens/>
        <w:jc w:val="both"/>
        <w:rPr>
          <w:rFonts w:ascii="Calibri" w:hAnsi="Calibri"/>
        </w:rPr>
      </w:pPr>
    </w:p>
    <w:p w:rsidR="007D19B2" w:rsidRPr="001A0D1D" w:rsidRDefault="004669AA" w:rsidP="007D19B2">
      <w:pPr>
        <w:suppressAutoHyphens/>
        <w:jc w:val="both"/>
        <w:rPr>
          <w:rFonts w:ascii="Calibri" w:hAnsi="Calibri"/>
        </w:rPr>
      </w:pPr>
      <w:r w:rsidRPr="00297D27">
        <w:rPr>
          <w:rFonts w:ascii="Calibri" w:hAnsi="Calibri"/>
        </w:rPr>
        <w:t>Asimismo</w:t>
      </w:r>
      <w:r w:rsidR="00B22ADC" w:rsidRPr="00297D27">
        <w:rPr>
          <w:rFonts w:ascii="Calibri" w:hAnsi="Calibri"/>
        </w:rPr>
        <w:t xml:space="preserve">, </w:t>
      </w:r>
      <w:r w:rsidRPr="00297D27">
        <w:rPr>
          <w:rFonts w:ascii="Calibri" w:hAnsi="Calibri"/>
        </w:rPr>
        <w:t>la mejora d</w:t>
      </w:r>
      <w:r w:rsidR="007D19B2" w:rsidRPr="00297D27">
        <w:rPr>
          <w:rFonts w:ascii="Calibri" w:hAnsi="Calibri"/>
        </w:rPr>
        <w:t xml:space="preserve">el </w:t>
      </w:r>
      <w:r w:rsidR="00B22ADC" w:rsidRPr="00297D27">
        <w:rPr>
          <w:rFonts w:ascii="Calibri" w:hAnsi="Calibri"/>
        </w:rPr>
        <w:t>R</w:t>
      </w:r>
      <w:r w:rsidR="007D19B2" w:rsidRPr="00297D27">
        <w:rPr>
          <w:rFonts w:ascii="Calibri" w:hAnsi="Calibri"/>
        </w:rPr>
        <w:t xml:space="preserve">esultado </w:t>
      </w:r>
      <w:r w:rsidR="00B22ADC" w:rsidRPr="00297D27">
        <w:rPr>
          <w:rFonts w:ascii="Calibri" w:hAnsi="Calibri"/>
        </w:rPr>
        <w:t>P</w:t>
      </w:r>
      <w:r w:rsidR="007D19B2" w:rsidRPr="00297D27">
        <w:rPr>
          <w:rFonts w:ascii="Calibri" w:hAnsi="Calibri"/>
        </w:rPr>
        <w:t>rimario,</w:t>
      </w:r>
      <w:r w:rsidRPr="00297D27">
        <w:rPr>
          <w:rFonts w:ascii="Calibri" w:hAnsi="Calibri"/>
        </w:rPr>
        <w:t xml:space="preserve"> que más que se duplica respecto de 2019,</w:t>
      </w:r>
      <w:r w:rsidR="00B22ADC" w:rsidRPr="00297D27">
        <w:rPr>
          <w:rFonts w:ascii="Calibri" w:hAnsi="Calibri"/>
        </w:rPr>
        <w:t xml:space="preserve"> </w:t>
      </w:r>
      <w:r w:rsidR="00297D27" w:rsidRPr="00297D27">
        <w:rPr>
          <w:rFonts w:ascii="Calibri" w:hAnsi="Calibri"/>
        </w:rPr>
        <w:t>resulta</w:t>
      </w:r>
      <w:r w:rsidR="00B22ADC" w:rsidRPr="00297D27">
        <w:rPr>
          <w:rFonts w:ascii="Calibri" w:hAnsi="Calibri"/>
        </w:rPr>
        <w:t xml:space="preserve"> equivalente a </w:t>
      </w:r>
      <w:r w:rsidR="00297D27" w:rsidRPr="00297D27">
        <w:rPr>
          <w:rFonts w:ascii="Calibri" w:hAnsi="Calibri"/>
        </w:rPr>
        <w:t>1,5</w:t>
      </w:r>
      <w:r w:rsidR="000211ED">
        <w:rPr>
          <w:rFonts w:ascii="Calibri" w:hAnsi="Calibri"/>
        </w:rPr>
        <w:t>%</w:t>
      </w:r>
      <w:r w:rsidR="00B22ADC" w:rsidRPr="00297D27">
        <w:rPr>
          <w:rFonts w:ascii="Calibri" w:hAnsi="Calibri"/>
        </w:rPr>
        <w:t xml:space="preserve"> del total de recursos</w:t>
      </w:r>
      <w:r w:rsidR="007D19B2" w:rsidRPr="00297D27">
        <w:rPr>
          <w:rFonts w:ascii="Calibri" w:hAnsi="Calibri"/>
        </w:rPr>
        <w:t>, tal como se observa en el Cuadro 2.</w:t>
      </w:r>
    </w:p>
    <w:p w:rsidR="007D19B2" w:rsidRPr="001A0D1D" w:rsidRDefault="007D19B2" w:rsidP="007D19B2">
      <w:pPr>
        <w:suppressAutoHyphens/>
        <w:jc w:val="both"/>
        <w:rPr>
          <w:rFonts w:ascii="Calibri" w:hAnsi="Calibri"/>
        </w:rPr>
      </w:pPr>
    </w:p>
    <w:p w:rsidR="007D19B2" w:rsidRPr="001A0D1D" w:rsidRDefault="007D19B2" w:rsidP="007D19B2">
      <w:pPr>
        <w:suppressAutoHyphens/>
        <w:ind w:left="851" w:right="850"/>
        <w:jc w:val="center"/>
        <w:rPr>
          <w:rFonts w:ascii="Calibri" w:hAnsi="Calibri"/>
        </w:rPr>
      </w:pPr>
      <w:r w:rsidRPr="001A0D1D">
        <w:rPr>
          <w:rFonts w:ascii="Calibri" w:hAnsi="Calibri"/>
          <w:b/>
        </w:rPr>
        <w:t>Cuadro 2.</w:t>
      </w:r>
      <w:r w:rsidRPr="001A0D1D">
        <w:rPr>
          <w:rFonts w:ascii="Calibri" w:hAnsi="Calibri"/>
        </w:rPr>
        <w:t xml:space="preserve"> Principales Resultados de la APNF. Base devengado.</w:t>
      </w:r>
    </w:p>
    <w:p w:rsidR="007D19B2" w:rsidRPr="001A0D1D" w:rsidRDefault="007D19B2" w:rsidP="007D19B2">
      <w:pPr>
        <w:suppressAutoHyphens/>
        <w:jc w:val="center"/>
        <w:rPr>
          <w:rFonts w:ascii="Calibri" w:hAnsi="Calibri"/>
        </w:rPr>
      </w:pPr>
      <w:r w:rsidRPr="001A0D1D">
        <w:rPr>
          <w:rFonts w:ascii="Calibri" w:hAnsi="Calibri"/>
        </w:rPr>
        <w:t>Comparativo IV Trimestre 20</w:t>
      </w:r>
      <w:r w:rsidR="0082736B">
        <w:rPr>
          <w:rFonts w:ascii="Calibri" w:hAnsi="Calibri"/>
        </w:rPr>
        <w:t>20</w:t>
      </w:r>
      <w:r w:rsidRPr="001A0D1D">
        <w:rPr>
          <w:rFonts w:ascii="Calibri" w:hAnsi="Calibri"/>
        </w:rPr>
        <w:t>-201</w:t>
      </w:r>
      <w:r w:rsidR="0082736B">
        <w:rPr>
          <w:rFonts w:ascii="Calibri" w:hAnsi="Calibri"/>
        </w:rPr>
        <w:t>9</w:t>
      </w:r>
    </w:p>
    <w:p w:rsidR="007D19B2" w:rsidRPr="001A0D1D" w:rsidRDefault="007D19B2" w:rsidP="007D19B2">
      <w:pPr>
        <w:suppressAutoHyphens/>
        <w:spacing w:after="120"/>
        <w:jc w:val="center"/>
        <w:rPr>
          <w:rFonts w:ascii="Calibri" w:hAnsi="Calibri"/>
        </w:rPr>
      </w:pPr>
      <w:r w:rsidRPr="001A0D1D">
        <w:rPr>
          <w:rFonts w:ascii="Calibri" w:hAnsi="Calibri"/>
        </w:rPr>
        <w:t>En millones de pesos</w:t>
      </w:r>
    </w:p>
    <w:p w:rsidR="007D19B2" w:rsidRPr="00B35277" w:rsidRDefault="009D7CB2" w:rsidP="007D19B2">
      <w:pPr>
        <w:suppressAutoHyphens/>
        <w:jc w:val="center"/>
      </w:pPr>
      <w:r w:rsidRPr="0082736B">
        <w:rPr>
          <w:noProof/>
          <w:lang w:val="es-AR" w:eastAsia="es-AR"/>
        </w:rPr>
        <w:drawing>
          <wp:inline distT="0" distB="0" distL="0" distR="0">
            <wp:extent cx="4526280" cy="1531620"/>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26280" cy="1531620"/>
                    </a:xfrm>
                    <a:prstGeom prst="rect">
                      <a:avLst/>
                    </a:prstGeom>
                    <a:noFill/>
                    <a:ln>
                      <a:noFill/>
                    </a:ln>
                  </pic:spPr>
                </pic:pic>
              </a:graphicData>
            </a:graphic>
          </wp:inline>
        </w:drawing>
      </w:r>
    </w:p>
    <w:p w:rsidR="007D19B2" w:rsidRPr="00B35277" w:rsidRDefault="007D19B2" w:rsidP="007D19B2">
      <w:pPr>
        <w:suppressAutoHyphens/>
        <w:ind w:left="1276"/>
        <w:jc w:val="both"/>
        <w:rPr>
          <w:rFonts w:ascii="Calibri" w:hAnsi="Calibri"/>
        </w:rPr>
      </w:pPr>
      <w:r w:rsidRPr="00B35277">
        <w:rPr>
          <w:rFonts w:ascii="Calibri" w:hAnsi="Calibri"/>
          <w:b/>
          <w:sz w:val="20"/>
          <w:szCs w:val="20"/>
        </w:rPr>
        <w:t>Fuente</w:t>
      </w:r>
      <w:r w:rsidRPr="00B35277">
        <w:rPr>
          <w:rFonts w:ascii="Calibri" w:hAnsi="Calibri"/>
          <w:sz w:val="20"/>
          <w:szCs w:val="20"/>
        </w:rPr>
        <w:t>: Secretaria de Hacienda en base a información provista por las jurisdicciones</w:t>
      </w:r>
    </w:p>
    <w:p w:rsidR="007D19B2" w:rsidRPr="00B35277" w:rsidRDefault="007D19B2" w:rsidP="007D19B2">
      <w:pPr>
        <w:suppressAutoHyphens/>
        <w:jc w:val="both"/>
        <w:rPr>
          <w:rFonts w:ascii="Calibri" w:hAnsi="Calibri"/>
        </w:rPr>
      </w:pPr>
    </w:p>
    <w:p w:rsidR="007D19B2" w:rsidRPr="001A0D1D" w:rsidRDefault="00B22ADC" w:rsidP="007D19B2">
      <w:pPr>
        <w:suppressAutoHyphens/>
        <w:jc w:val="both"/>
        <w:rPr>
          <w:rFonts w:ascii="Calibri" w:hAnsi="Calibri"/>
        </w:rPr>
      </w:pPr>
      <w:r w:rsidRPr="005C400A">
        <w:rPr>
          <w:rFonts w:ascii="Calibri" w:hAnsi="Calibri"/>
        </w:rPr>
        <w:lastRenderedPageBreak/>
        <w:t>E</w:t>
      </w:r>
      <w:r w:rsidR="007D19B2" w:rsidRPr="005C400A">
        <w:rPr>
          <w:rFonts w:ascii="Calibri" w:hAnsi="Calibri"/>
        </w:rPr>
        <w:t xml:space="preserve">l </w:t>
      </w:r>
      <w:r w:rsidRPr="005C400A">
        <w:rPr>
          <w:rFonts w:ascii="Calibri" w:hAnsi="Calibri"/>
        </w:rPr>
        <w:t>R</w:t>
      </w:r>
      <w:r w:rsidR="007D19B2" w:rsidRPr="005C400A">
        <w:rPr>
          <w:rFonts w:ascii="Calibri" w:hAnsi="Calibri"/>
        </w:rPr>
        <w:t xml:space="preserve">esultado </w:t>
      </w:r>
      <w:r w:rsidRPr="005C400A">
        <w:rPr>
          <w:rFonts w:ascii="Calibri" w:hAnsi="Calibri"/>
        </w:rPr>
        <w:t>F</w:t>
      </w:r>
      <w:r w:rsidR="007D19B2" w:rsidRPr="005C400A">
        <w:rPr>
          <w:rFonts w:ascii="Calibri" w:hAnsi="Calibri"/>
        </w:rPr>
        <w:t>inanciero del ejercicio 20</w:t>
      </w:r>
      <w:r w:rsidR="00297D27" w:rsidRPr="005C400A">
        <w:rPr>
          <w:rFonts w:ascii="Calibri" w:hAnsi="Calibri"/>
        </w:rPr>
        <w:t>20</w:t>
      </w:r>
      <w:r w:rsidR="007D19B2" w:rsidRPr="005C400A">
        <w:rPr>
          <w:rFonts w:ascii="Calibri" w:hAnsi="Calibri"/>
        </w:rPr>
        <w:t xml:space="preserve"> cierra con un desequilibrio de </w:t>
      </w:r>
      <w:r w:rsidR="000211ED">
        <w:rPr>
          <w:rFonts w:ascii="Calibri" w:hAnsi="Calibri"/>
        </w:rPr>
        <w:t xml:space="preserve">$ </w:t>
      </w:r>
      <w:r w:rsidR="00297D27" w:rsidRPr="005C400A">
        <w:rPr>
          <w:rFonts w:ascii="Calibri" w:hAnsi="Calibri"/>
        </w:rPr>
        <w:t>67.368</w:t>
      </w:r>
      <w:r w:rsidR="00D36CB2" w:rsidRPr="005C400A">
        <w:rPr>
          <w:rFonts w:ascii="Calibri" w:hAnsi="Calibri"/>
        </w:rPr>
        <w:t xml:space="preserve"> </w:t>
      </w:r>
      <w:r w:rsidR="007D19B2" w:rsidRPr="005C400A">
        <w:rPr>
          <w:rFonts w:ascii="Calibri" w:hAnsi="Calibri"/>
        </w:rPr>
        <w:t>millones</w:t>
      </w:r>
      <w:r w:rsidRPr="005C400A">
        <w:rPr>
          <w:rFonts w:ascii="Calibri" w:hAnsi="Calibri"/>
        </w:rPr>
        <w:t xml:space="preserve">, </w:t>
      </w:r>
      <w:r w:rsidR="00297D27" w:rsidRPr="005C400A">
        <w:rPr>
          <w:rFonts w:ascii="Calibri" w:hAnsi="Calibri"/>
        </w:rPr>
        <w:t>lo que representa menos de la mitad d</w:t>
      </w:r>
      <w:r w:rsidR="007D19B2" w:rsidRPr="005C400A">
        <w:rPr>
          <w:rFonts w:ascii="Calibri" w:hAnsi="Calibri"/>
        </w:rPr>
        <w:t xml:space="preserve">el déficit </w:t>
      </w:r>
      <w:r w:rsidRPr="005C400A">
        <w:rPr>
          <w:rFonts w:ascii="Calibri" w:hAnsi="Calibri"/>
        </w:rPr>
        <w:t>observado</w:t>
      </w:r>
      <w:r w:rsidR="007D19B2" w:rsidRPr="005C400A">
        <w:rPr>
          <w:rFonts w:ascii="Calibri" w:hAnsi="Calibri"/>
        </w:rPr>
        <w:t xml:space="preserve"> </w:t>
      </w:r>
      <w:r w:rsidR="00D36CB2" w:rsidRPr="005C400A">
        <w:rPr>
          <w:rFonts w:ascii="Calibri" w:hAnsi="Calibri"/>
        </w:rPr>
        <w:t>el ejercicio anterior</w:t>
      </w:r>
      <w:r w:rsidR="00297D27" w:rsidRPr="005C400A">
        <w:rPr>
          <w:rFonts w:ascii="Calibri" w:hAnsi="Calibri"/>
        </w:rPr>
        <w:t xml:space="preserve"> (</w:t>
      </w:r>
      <w:r w:rsidR="000211ED">
        <w:rPr>
          <w:rFonts w:ascii="Calibri" w:hAnsi="Calibri"/>
        </w:rPr>
        <w:t xml:space="preserve">$ </w:t>
      </w:r>
      <w:r w:rsidR="00297D27" w:rsidRPr="005C400A">
        <w:rPr>
          <w:rFonts w:ascii="Calibri" w:hAnsi="Calibri"/>
        </w:rPr>
        <w:t>139.942 millones)</w:t>
      </w:r>
      <w:r w:rsidR="00E6448C" w:rsidRPr="005C400A">
        <w:rPr>
          <w:rFonts w:ascii="Calibri" w:hAnsi="Calibri"/>
        </w:rPr>
        <w:t xml:space="preserve">. Este resultado </w:t>
      </w:r>
      <w:r w:rsidR="00297D27" w:rsidRPr="005C400A">
        <w:rPr>
          <w:rFonts w:ascii="Calibri" w:hAnsi="Calibri"/>
        </w:rPr>
        <w:t xml:space="preserve">se ve favorecido por la dinámica positiva </w:t>
      </w:r>
      <w:r w:rsidR="00E6448C" w:rsidRPr="005C400A">
        <w:rPr>
          <w:rFonts w:ascii="Calibri" w:hAnsi="Calibri"/>
        </w:rPr>
        <w:t xml:space="preserve">del comportamiento </w:t>
      </w:r>
      <w:r w:rsidR="00297D27" w:rsidRPr="005C400A">
        <w:rPr>
          <w:rFonts w:ascii="Calibri" w:hAnsi="Calibri"/>
        </w:rPr>
        <w:t xml:space="preserve">tanto </w:t>
      </w:r>
      <w:r w:rsidR="00E6448C" w:rsidRPr="005C400A">
        <w:rPr>
          <w:rFonts w:ascii="Calibri" w:hAnsi="Calibri"/>
        </w:rPr>
        <w:t xml:space="preserve">de </w:t>
      </w:r>
      <w:r w:rsidR="007D19B2" w:rsidRPr="005C400A">
        <w:rPr>
          <w:rFonts w:ascii="Calibri" w:hAnsi="Calibri"/>
        </w:rPr>
        <w:t xml:space="preserve">los recursos, </w:t>
      </w:r>
      <w:r w:rsidR="00297D27" w:rsidRPr="005C400A">
        <w:rPr>
          <w:rFonts w:ascii="Calibri" w:hAnsi="Calibri"/>
        </w:rPr>
        <w:t>que se incrementan 34,5</w:t>
      </w:r>
      <w:r w:rsidR="000211ED">
        <w:rPr>
          <w:rFonts w:ascii="Calibri" w:hAnsi="Calibri"/>
        </w:rPr>
        <w:t>%</w:t>
      </w:r>
      <w:r w:rsidR="00297D27" w:rsidRPr="005C400A">
        <w:rPr>
          <w:rFonts w:ascii="Calibri" w:hAnsi="Calibri"/>
        </w:rPr>
        <w:t xml:space="preserve">, como </w:t>
      </w:r>
      <w:r w:rsidR="00E6448C" w:rsidRPr="005C400A">
        <w:rPr>
          <w:rFonts w:ascii="Calibri" w:hAnsi="Calibri"/>
        </w:rPr>
        <w:t xml:space="preserve">del gasto </w:t>
      </w:r>
      <w:r w:rsidR="007D19B2" w:rsidRPr="005C400A">
        <w:rPr>
          <w:rFonts w:ascii="Calibri" w:hAnsi="Calibri"/>
        </w:rPr>
        <w:t>total</w:t>
      </w:r>
      <w:r w:rsidR="00297D27" w:rsidRPr="005C400A">
        <w:rPr>
          <w:rFonts w:ascii="Calibri" w:hAnsi="Calibri"/>
        </w:rPr>
        <w:t>, que sólo lo hace en 31,2</w:t>
      </w:r>
      <w:r w:rsidR="000211ED">
        <w:rPr>
          <w:rFonts w:ascii="Calibri" w:hAnsi="Calibri"/>
        </w:rPr>
        <w:t>%</w:t>
      </w:r>
      <w:r w:rsidR="007D19B2" w:rsidRPr="005C400A">
        <w:rPr>
          <w:rFonts w:ascii="Calibri" w:hAnsi="Calibri"/>
        </w:rPr>
        <w:t>. De este modo el déficit financiero acumulado en 20</w:t>
      </w:r>
      <w:r w:rsidR="00EF3CBD" w:rsidRPr="005C400A">
        <w:rPr>
          <w:rFonts w:ascii="Calibri" w:hAnsi="Calibri"/>
        </w:rPr>
        <w:t>20</w:t>
      </w:r>
      <w:r w:rsidR="007D19B2" w:rsidRPr="005C400A">
        <w:rPr>
          <w:rFonts w:ascii="Calibri" w:hAnsi="Calibri"/>
        </w:rPr>
        <w:t xml:space="preserve">, equivalente a </w:t>
      </w:r>
      <w:r w:rsidR="00EF3CBD" w:rsidRPr="005C400A">
        <w:rPr>
          <w:rFonts w:ascii="Calibri" w:hAnsi="Calibri"/>
        </w:rPr>
        <w:t>1,3</w:t>
      </w:r>
      <w:r w:rsidR="000211ED">
        <w:rPr>
          <w:rFonts w:ascii="Calibri" w:hAnsi="Calibri"/>
        </w:rPr>
        <w:t>%</w:t>
      </w:r>
      <w:r w:rsidR="007D19B2" w:rsidRPr="005C400A">
        <w:rPr>
          <w:rFonts w:ascii="Calibri" w:hAnsi="Calibri"/>
        </w:rPr>
        <w:t xml:space="preserve"> del gasto total</w:t>
      </w:r>
      <w:r w:rsidR="007B78DC" w:rsidRPr="005C400A">
        <w:rPr>
          <w:rFonts w:ascii="Calibri" w:hAnsi="Calibri"/>
        </w:rPr>
        <w:t>,</w:t>
      </w:r>
      <w:r w:rsidR="007D19B2" w:rsidRPr="005C400A">
        <w:rPr>
          <w:rFonts w:ascii="Calibri" w:hAnsi="Calibri"/>
        </w:rPr>
        <w:t xml:space="preserve"> </w:t>
      </w:r>
      <w:r w:rsidR="00E6448C" w:rsidRPr="005C400A">
        <w:rPr>
          <w:rFonts w:ascii="Calibri" w:hAnsi="Calibri"/>
        </w:rPr>
        <w:t xml:space="preserve">representa una </w:t>
      </w:r>
      <w:r w:rsidR="00EF3CBD" w:rsidRPr="005C400A">
        <w:rPr>
          <w:rFonts w:ascii="Calibri" w:hAnsi="Calibri"/>
        </w:rPr>
        <w:t>mejora</w:t>
      </w:r>
      <w:r w:rsidR="00E6448C" w:rsidRPr="005C400A">
        <w:rPr>
          <w:rFonts w:ascii="Calibri" w:hAnsi="Calibri"/>
        </w:rPr>
        <w:t xml:space="preserve"> significativa</w:t>
      </w:r>
      <w:r w:rsidR="007D19B2" w:rsidRPr="005C400A">
        <w:rPr>
          <w:rFonts w:ascii="Calibri" w:hAnsi="Calibri"/>
        </w:rPr>
        <w:t xml:space="preserve"> respecto </w:t>
      </w:r>
      <w:r w:rsidR="00EF3CBD" w:rsidRPr="005C400A">
        <w:rPr>
          <w:rFonts w:ascii="Calibri" w:hAnsi="Calibri"/>
        </w:rPr>
        <w:t>de la razón</w:t>
      </w:r>
      <w:r w:rsidR="007D19B2" w:rsidRPr="005C400A">
        <w:rPr>
          <w:rFonts w:ascii="Calibri" w:hAnsi="Calibri"/>
        </w:rPr>
        <w:t xml:space="preserve"> observad</w:t>
      </w:r>
      <w:r w:rsidR="00EF3CBD" w:rsidRPr="005C400A">
        <w:rPr>
          <w:rFonts w:ascii="Calibri" w:hAnsi="Calibri"/>
        </w:rPr>
        <w:t>a</w:t>
      </w:r>
      <w:r w:rsidR="007D19B2" w:rsidRPr="005C400A">
        <w:rPr>
          <w:rFonts w:ascii="Calibri" w:hAnsi="Calibri"/>
        </w:rPr>
        <w:t xml:space="preserve"> en 201</w:t>
      </w:r>
      <w:r w:rsidR="00EF3CBD" w:rsidRPr="005C400A">
        <w:rPr>
          <w:rFonts w:ascii="Calibri" w:hAnsi="Calibri"/>
        </w:rPr>
        <w:t>9</w:t>
      </w:r>
      <w:r w:rsidR="007D19B2" w:rsidRPr="005C400A">
        <w:rPr>
          <w:rFonts w:ascii="Calibri" w:hAnsi="Calibri"/>
        </w:rPr>
        <w:t xml:space="preserve">, cuando representó </w:t>
      </w:r>
      <w:r w:rsidR="00EF3CBD" w:rsidRPr="005C400A">
        <w:rPr>
          <w:rFonts w:ascii="Calibri" w:hAnsi="Calibri"/>
        </w:rPr>
        <w:t>3</w:t>
      </w:r>
      <w:r w:rsidR="00E6448C" w:rsidRPr="005C400A">
        <w:rPr>
          <w:rFonts w:ascii="Calibri" w:hAnsi="Calibri"/>
        </w:rPr>
        <w:t>,</w:t>
      </w:r>
      <w:r w:rsidR="00593E8A" w:rsidRPr="005C400A">
        <w:rPr>
          <w:rFonts w:ascii="Calibri" w:hAnsi="Calibri"/>
        </w:rPr>
        <w:t>8</w:t>
      </w:r>
      <w:r w:rsidR="000211ED">
        <w:rPr>
          <w:rFonts w:ascii="Calibri" w:hAnsi="Calibri"/>
        </w:rPr>
        <w:t>%</w:t>
      </w:r>
      <w:r w:rsidR="007D19B2" w:rsidRPr="005C400A">
        <w:rPr>
          <w:rFonts w:ascii="Calibri" w:hAnsi="Calibri"/>
        </w:rPr>
        <w:t xml:space="preserve"> del total de egresos. El </w:t>
      </w:r>
      <w:r w:rsidR="00E6448C" w:rsidRPr="005C400A">
        <w:rPr>
          <w:rFonts w:ascii="Calibri" w:hAnsi="Calibri"/>
        </w:rPr>
        <w:t xml:space="preserve">diferencial del </w:t>
      </w:r>
      <w:r w:rsidR="007D19B2" w:rsidRPr="005C400A">
        <w:rPr>
          <w:rFonts w:ascii="Calibri" w:hAnsi="Calibri"/>
        </w:rPr>
        <w:t xml:space="preserve">resultado financiero </w:t>
      </w:r>
      <w:r w:rsidR="00E6448C" w:rsidRPr="005C400A">
        <w:rPr>
          <w:rFonts w:ascii="Calibri" w:hAnsi="Calibri"/>
        </w:rPr>
        <w:t>respecto d</w:t>
      </w:r>
      <w:r w:rsidR="007D19B2" w:rsidRPr="005C400A">
        <w:rPr>
          <w:rFonts w:ascii="Calibri" w:hAnsi="Calibri"/>
        </w:rPr>
        <w:t xml:space="preserve">el resultado primario </w:t>
      </w:r>
      <w:r w:rsidR="00E6448C" w:rsidRPr="005C400A">
        <w:rPr>
          <w:rFonts w:ascii="Calibri" w:hAnsi="Calibri"/>
        </w:rPr>
        <w:t xml:space="preserve">se explica por el </w:t>
      </w:r>
      <w:r w:rsidR="00EF3CBD" w:rsidRPr="005C400A">
        <w:rPr>
          <w:rFonts w:ascii="Calibri" w:hAnsi="Calibri"/>
        </w:rPr>
        <w:t>ahorro en el</w:t>
      </w:r>
      <w:r w:rsidR="007D19B2" w:rsidRPr="005C400A">
        <w:rPr>
          <w:rFonts w:ascii="Calibri" w:hAnsi="Calibri"/>
        </w:rPr>
        <w:t xml:space="preserve"> </w:t>
      </w:r>
      <w:r w:rsidR="00EF3CBD" w:rsidRPr="005C400A">
        <w:rPr>
          <w:rFonts w:ascii="Calibri" w:hAnsi="Calibri"/>
        </w:rPr>
        <w:t>pago de</w:t>
      </w:r>
      <w:r w:rsidR="007D19B2" w:rsidRPr="005C400A">
        <w:rPr>
          <w:rFonts w:ascii="Calibri" w:hAnsi="Calibri"/>
        </w:rPr>
        <w:t xml:space="preserve"> intereses de la deuda, cuyo comportamiento se analiza en </w:t>
      </w:r>
      <w:r w:rsidR="00E6448C" w:rsidRPr="005C400A">
        <w:rPr>
          <w:rFonts w:ascii="Calibri" w:hAnsi="Calibri"/>
        </w:rPr>
        <w:t>la sección</w:t>
      </w:r>
      <w:r w:rsidR="007D19B2" w:rsidRPr="005C400A">
        <w:rPr>
          <w:rFonts w:ascii="Calibri" w:hAnsi="Calibri"/>
        </w:rPr>
        <w:t xml:space="preserve"> respectiv</w:t>
      </w:r>
      <w:r w:rsidR="00E6448C" w:rsidRPr="005C400A">
        <w:rPr>
          <w:rFonts w:ascii="Calibri" w:hAnsi="Calibri"/>
        </w:rPr>
        <w:t>a</w:t>
      </w:r>
      <w:r w:rsidR="007D19B2" w:rsidRPr="005C400A">
        <w:rPr>
          <w:rFonts w:ascii="Calibri" w:hAnsi="Calibri"/>
        </w:rPr>
        <w:t>.</w:t>
      </w:r>
    </w:p>
    <w:p w:rsidR="007D19B2" w:rsidRPr="001A0D1D" w:rsidRDefault="007D19B2" w:rsidP="007D19B2">
      <w:pPr>
        <w:suppressAutoHyphens/>
        <w:jc w:val="both"/>
        <w:rPr>
          <w:rFonts w:ascii="Calibri" w:hAnsi="Calibri"/>
          <w:highlight w:val="yellow"/>
        </w:rPr>
      </w:pPr>
    </w:p>
    <w:p w:rsidR="007D19B2" w:rsidRPr="001A0D1D" w:rsidRDefault="007D19B2" w:rsidP="007D19B2">
      <w:pPr>
        <w:suppressAutoHyphens/>
        <w:jc w:val="both"/>
        <w:rPr>
          <w:rFonts w:ascii="Calibri" w:hAnsi="Calibri"/>
        </w:rPr>
      </w:pPr>
    </w:p>
    <w:p w:rsidR="007D19B2" w:rsidRPr="00C668B6" w:rsidRDefault="00C32085" w:rsidP="00C668B6">
      <w:pPr>
        <w:pStyle w:val="Ttulo1"/>
        <w:numPr>
          <w:ilvl w:val="0"/>
          <w:numId w:val="0"/>
        </w:numPr>
        <w:pBdr>
          <w:bottom w:val="single" w:sz="4" w:space="1" w:color="auto"/>
        </w:pBdr>
        <w:suppressAutoHyphens/>
        <w:spacing w:before="0" w:after="0"/>
        <w:rPr>
          <w:rFonts w:ascii="Calibri" w:hAnsi="Calibri" w:cs="Times New Roman"/>
          <w:color w:val="595959"/>
          <w:sz w:val="28"/>
          <w:szCs w:val="28"/>
        </w:rPr>
      </w:pPr>
      <w:bookmarkStart w:id="11" w:name="_Toc99450866"/>
      <w:r w:rsidRPr="00C668B6">
        <w:rPr>
          <w:rFonts w:ascii="Calibri" w:hAnsi="Calibri" w:cs="Times New Roman"/>
          <w:color w:val="595959"/>
          <w:sz w:val="28"/>
          <w:szCs w:val="28"/>
        </w:rPr>
        <w:t>4</w:t>
      </w:r>
      <w:r w:rsidR="007D19B2" w:rsidRPr="00C668B6">
        <w:rPr>
          <w:rFonts w:ascii="Calibri" w:hAnsi="Calibri" w:cs="Times New Roman"/>
          <w:color w:val="595959"/>
          <w:sz w:val="28"/>
          <w:szCs w:val="28"/>
        </w:rPr>
        <w:t>. RECURSOS</w:t>
      </w:r>
      <w:bookmarkEnd w:id="11"/>
    </w:p>
    <w:p w:rsidR="007D19B2" w:rsidRPr="001A0D1D" w:rsidRDefault="007D19B2" w:rsidP="00C32085">
      <w:pPr>
        <w:pBdr>
          <w:top w:val="single" w:sz="4" w:space="1" w:color="auto"/>
        </w:pBdr>
        <w:suppressAutoHyphens/>
        <w:jc w:val="both"/>
        <w:rPr>
          <w:rFonts w:ascii="Calibri" w:hAnsi="Calibri"/>
        </w:rPr>
      </w:pPr>
    </w:p>
    <w:p w:rsidR="00984BC3" w:rsidRDefault="00984BC3" w:rsidP="00984BC3">
      <w:pPr>
        <w:suppressAutoHyphens/>
        <w:jc w:val="both"/>
        <w:rPr>
          <w:rFonts w:ascii="Calibri" w:hAnsi="Calibri"/>
        </w:rPr>
      </w:pPr>
      <w:r>
        <w:rPr>
          <w:rFonts w:ascii="Calibri" w:hAnsi="Calibri"/>
        </w:rPr>
        <w:t>Al término del ejercicio 2020 el conjunto de 24 jurisdicciones percibió ingresos por un total de</w:t>
      </w:r>
      <w:r w:rsidR="000211ED">
        <w:rPr>
          <w:rFonts w:ascii="Calibri" w:hAnsi="Calibri"/>
        </w:rPr>
        <w:t xml:space="preserve">      </w:t>
      </w:r>
      <w:r w:rsidR="00790922">
        <w:rPr>
          <w:rFonts w:ascii="Calibri" w:hAnsi="Calibri"/>
        </w:rPr>
        <w:t xml:space="preserve"> </w:t>
      </w:r>
      <w:r w:rsidR="000211ED">
        <w:rPr>
          <w:rFonts w:ascii="Calibri" w:hAnsi="Calibri"/>
        </w:rPr>
        <w:t xml:space="preserve">$ </w:t>
      </w:r>
      <w:r>
        <w:rPr>
          <w:rFonts w:ascii="Calibri" w:hAnsi="Calibri"/>
        </w:rPr>
        <w:t xml:space="preserve">4.752.532 millones (Cuadro </w:t>
      </w:r>
      <w:r w:rsidR="0082736B">
        <w:rPr>
          <w:rFonts w:ascii="Calibri" w:hAnsi="Calibri"/>
        </w:rPr>
        <w:t>3</w:t>
      </w:r>
      <w:r>
        <w:rPr>
          <w:rFonts w:ascii="Calibri" w:hAnsi="Calibri"/>
        </w:rPr>
        <w:t>), cuya variación se explica principalmente por el comportamiento de los Recursos Tributarios, que aportan 76,7% del incremento total y presentan una variación interanual positiva de 35,0%.</w:t>
      </w:r>
    </w:p>
    <w:p w:rsidR="00984BC3" w:rsidRDefault="00984BC3" w:rsidP="00984BC3">
      <w:pPr>
        <w:suppressAutoHyphens/>
        <w:jc w:val="both"/>
        <w:rPr>
          <w:rFonts w:ascii="Calibri" w:hAnsi="Calibri"/>
        </w:rPr>
      </w:pPr>
    </w:p>
    <w:p w:rsidR="00984BC3" w:rsidRDefault="00984BC3" w:rsidP="00984BC3">
      <w:pPr>
        <w:suppressAutoHyphens/>
        <w:jc w:val="center"/>
        <w:rPr>
          <w:rFonts w:ascii="Calibri" w:hAnsi="Calibri"/>
        </w:rPr>
      </w:pPr>
      <w:r>
        <w:rPr>
          <w:rFonts w:ascii="Calibri" w:hAnsi="Calibri"/>
          <w:b/>
        </w:rPr>
        <w:t xml:space="preserve">Cuadro </w:t>
      </w:r>
      <w:r w:rsidR="0082736B">
        <w:rPr>
          <w:rFonts w:ascii="Calibri" w:hAnsi="Calibri"/>
          <w:b/>
        </w:rPr>
        <w:t>3</w:t>
      </w:r>
      <w:r>
        <w:rPr>
          <w:rFonts w:ascii="Calibri" w:hAnsi="Calibri"/>
          <w:b/>
        </w:rPr>
        <w:t>.</w:t>
      </w:r>
      <w:r>
        <w:rPr>
          <w:rFonts w:ascii="Calibri" w:hAnsi="Calibri"/>
        </w:rPr>
        <w:t xml:space="preserve"> Ingresos totales de la APNF</w:t>
      </w:r>
    </w:p>
    <w:p w:rsidR="00984BC3" w:rsidRDefault="00984BC3" w:rsidP="00984BC3">
      <w:pPr>
        <w:suppressAutoHyphens/>
        <w:jc w:val="center"/>
        <w:rPr>
          <w:rFonts w:ascii="Calibri" w:hAnsi="Calibri"/>
        </w:rPr>
      </w:pPr>
      <w:r>
        <w:rPr>
          <w:rFonts w:ascii="Calibri" w:hAnsi="Calibri"/>
        </w:rPr>
        <w:t>Comparativo Acumulado IV Trimestre 2020-2019</w:t>
      </w:r>
    </w:p>
    <w:p w:rsidR="00984BC3" w:rsidRDefault="00984BC3" w:rsidP="00984BC3">
      <w:pPr>
        <w:suppressAutoHyphens/>
        <w:spacing w:after="120"/>
        <w:jc w:val="center"/>
        <w:rPr>
          <w:rFonts w:ascii="Calibri" w:hAnsi="Calibri"/>
        </w:rPr>
      </w:pPr>
      <w:r>
        <w:rPr>
          <w:rFonts w:ascii="Calibri" w:hAnsi="Calibri"/>
        </w:rPr>
        <w:t>En millones de pesos</w:t>
      </w:r>
    </w:p>
    <w:p w:rsidR="00984BC3" w:rsidRDefault="009D7CB2" w:rsidP="00984BC3">
      <w:pPr>
        <w:suppressAutoHyphens/>
        <w:jc w:val="center"/>
        <w:rPr>
          <w:rFonts w:ascii="Calibri" w:hAnsi="Calibri"/>
          <w:sz w:val="20"/>
          <w:szCs w:val="20"/>
        </w:rPr>
      </w:pPr>
      <w:r>
        <w:rPr>
          <w:rFonts w:ascii="Calibri" w:hAnsi="Calibri"/>
          <w:noProof/>
          <w:sz w:val="20"/>
          <w:szCs w:val="20"/>
          <w:lang w:val="es-AR" w:eastAsia="es-AR"/>
        </w:rPr>
        <w:drawing>
          <wp:inline distT="0" distB="0" distL="0" distR="0">
            <wp:extent cx="5108575" cy="3625850"/>
            <wp:effectExtent l="0" t="0" r="0"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08575" cy="3625850"/>
                    </a:xfrm>
                    <a:prstGeom prst="rect">
                      <a:avLst/>
                    </a:prstGeom>
                    <a:noFill/>
                    <a:ln>
                      <a:noFill/>
                    </a:ln>
                  </pic:spPr>
                </pic:pic>
              </a:graphicData>
            </a:graphic>
          </wp:inline>
        </w:drawing>
      </w:r>
    </w:p>
    <w:p w:rsidR="00984BC3" w:rsidRDefault="00984BC3" w:rsidP="005C400A">
      <w:pPr>
        <w:suppressAutoHyphens/>
        <w:ind w:left="851"/>
        <w:jc w:val="both"/>
        <w:rPr>
          <w:rFonts w:ascii="Calibri" w:hAnsi="Calibri"/>
          <w:sz w:val="20"/>
          <w:szCs w:val="20"/>
        </w:rPr>
      </w:pPr>
      <w:r>
        <w:rPr>
          <w:rFonts w:ascii="Calibri" w:hAnsi="Calibri"/>
          <w:b/>
          <w:sz w:val="20"/>
          <w:szCs w:val="20"/>
        </w:rPr>
        <w:t>Fuente</w:t>
      </w:r>
      <w:r>
        <w:rPr>
          <w:rFonts w:ascii="Calibri" w:hAnsi="Calibri"/>
          <w:sz w:val="20"/>
          <w:szCs w:val="20"/>
        </w:rPr>
        <w:t>: Secretaria de Hacienda en base a información provista por las jurisdicciones</w:t>
      </w:r>
    </w:p>
    <w:p w:rsidR="00984BC3" w:rsidRDefault="00984BC3" w:rsidP="00984BC3">
      <w:pPr>
        <w:jc w:val="both"/>
        <w:rPr>
          <w:rFonts w:ascii="Calibri" w:hAnsi="Calibri"/>
          <w:highlight w:val="yellow"/>
        </w:rPr>
      </w:pPr>
    </w:p>
    <w:p w:rsidR="005C400A" w:rsidRDefault="005C400A" w:rsidP="005C400A">
      <w:pPr>
        <w:jc w:val="both"/>
        <w:rPr>
          <w:rFonts w:ascii="Calibri" w:hAnsi="Calibri"/>
        </w:rPr>
      </w:pPr>
      <w:r>
        <w:rPr>
          <w:rFonts w:ascii="Calibri" w:hAnsi="Calibri"/>
        </w:rPr>
        <w:lastRenderedPageBreak/>
        <w:t>Los Recursos de Origen Nacional observan un crecimiento interanual de 37,4%, aportando 50,1% del aumento de los ingresos totales. Adicionalmente, los componentes de tales ingresos tienen un comportamiento particular ya que mientras los recursos por Coparticipación Federal de Impuestos (Ley 23.548) registraron un incremento interanual de 32,6%, el conjunto de los Otros Recursos de Origen Nacional muestra un crecimiento de 83,7%. Es necesario destacar que este último incremento responde fundamentalmente a una mayor recaudación del Impuesto a los Bienes Personales.</w:t>
      </w:r>
    </w:p>
    <w:p w:rsidR="005C400A" w:rsidRDefault="005C400A" w:rsidP="005C400A">
      <w:pPr>
        <w:jc w:val="both"/>
        <w:rPr>
          <w:rFonts w:ascii="Calibri" w:hAnsi="Calibri"/>
          <w:highlight w:val="yellow"/>
        </w:rPr>
      </w:pPr>
    </w:p>
    <w:p w:rsidR="00984BC3" w:rsidRDefault="00984BC3" w:rsidP="00984BC3">
      <w:pPr>
        <w:jc w:val="both"/>
        <w:rPr>
          <w:rFonts w:ascii="Calibri" w:hAnsi="Calibri"/>
        </w:rPr>
      </w:pPr>
      <w:r>
        <w:rPr>
          <w:rFonts w:ascii="Calibri" w:hAnsi="Calibri"/>
        </w:rPr>
        <w:t>En lo que refiere a los recursos derivados de la Ley 23.548 y modificatorias</w:t>
      </w:r>
      <w:r w:rsidR="009D62F2">
        <w:rPr>
          <w:rFonts w:ascii="Calibri" w:hAnsi="Calibri"/>
        </w:rPr>
        <w:t>,</w:t>
      </w:r>
      <w:r>
        <w:rPr>
          <w:rFonts w:ascii="Calibri" w:hAnsi="Calibri"/>
        </w:rPr>
        <w:t xml:space="preserve"> cabe señalar que, en el marco de la Ley N° 27.260 que ratificó el Acuerdo entre el Estado Nacional y 21 Jurisdicciones, se dispone la eliminación escalonada de la detracción de 15</w:t>
      </w:r>
      <w:r w:rsidR="000211ED">
        <w:rPr>
          <w:rFonts w:ascii="Calibri" w:hAnsi="Calibri"/>
        </w:rPr>
        <w:t>%</w:t>
      </w:r>
      <w:r>
        <w:rPr>
          <w:rFonts w:ascii="Calibri" w:hAnsi="Calibri"/>
        </w:rPr>
        <w:t xml:space="preserve"> de la masa de impuestos coparticipables destinados a la ANSES. En 2020 la reducción de esta detracción corresponde a 15 puntos porcentuales anuales en tanto que en 2019 fue de 12 puntos porcentuales. El año 2020 culmina con la aplicación gradual de la reducción de 15% de la masa coparticipable destinado a financiar el sistema previsional. De este modo, las Jurisdicciones obtuvieron una mayor participación en la distribución de recursos coparticipables.</w:t>
      </w:r>
    </w:p>
    <w:p w:rsidR="00984BC3" w:rsidRDefault="00984BC3" w:rsidP="00984BC3">
      <w:pPr>
        <w:jc w:val="both"/>
        <w:rPr>
          <w:rFonts w:ascii="Calibri" w:hAnsi="Calibri"/>
        </w:rPr>
      </w:pPr>
    </w:p>
    <w:p w:rsidR="00984BC3" w:rsidRDefault="00984BC3" w:rsidP="00984BC3">
      <w:pPr>
        <w:jc w:val="both"/>
        <w:rPr>
          <w:rFonts w:ascii="Calibri" w:hAnsi="Calibri"/>
        </w:rPr>
      </w:pPr>
      <w:r>
        <w:rPr>
          <w:rFonts w:ascii="Calibri" w:hAnsi="Calibri"/>
        </w:rPr>
        <w:t>Constituyen una excepción a lo antes mencionado las Provincias de Córdoba, San Luis y Santa Fe, que ya a fines de 2015 habían comenzado a percibir los recursos por el cese de la detracción de 15% a la ANSES debido a los fallos de inconstitucionalidad (San Luis y Santa Fe), y a la medida cautelar (Córdoba) emitidos por la CSJN. Del mismo modo, Santa Fe en la fecha antes mencionada y La Pampa a partir de noviembre 2018 comenzaron a percibir los recursos debido al fallo de inconstitucionalidad del Decreto 1399/01 emitido por la CSJN.</w:t>
      </w:r>
    </w:p>
    <w:p w:rsidR="00984BC3" w:rsidRDefault="00984BC3" w:rsidP="00984BC3">
      <w:pPr>
        <w:jc w:val="both"/>
        <w:rPr>
          <w:rFonts w:ascii="Calibri" w:hAnsi="Calibri"/>
        </w:rPr>
      </w:pPr>
    </w:p>
    <w:p w:rsidR="00984BC3" w:rsidRDefault="00984BC3" w:rsidP="00984BC3">
      <w:pPr>
        <w:jc w:val="both"/>
        <w:rPr>
          <w:rFonts w:ascii="Calibri" w:hAnsi="Calibri"/>
        </w:rPr>
      </w:pPr>
      <w:r>
        <w:rPr>
          <w:rFonts w:ascii="Calibri" w:hAnsi="Calibri"/>
        </w:rPr>
        <w:t xml:space="preserve">Asimismo, mantienen su vigencia los cambios introducidos en la distribución de impuestos nacionales en el marco del Consenso Fiscal 2017 (Ley 27.429), y las compensaciones previstas en la cláusula II. a), b), d) y e). Como consecuencia de tales los cambios, 21 Jurisdicciones recibieron compensaciones diarias por un monto consolidado al cuarto trimestre de 2020 de </w:t>
      </w:r>
      <w:r w:rsidR="000211ED">
        <w:rPr>
          <w:rFonts w:ascii="Calibri" w:hAnsi="Calibri"/>
        </w:rPr>
        <w:t xml:space="preserve">$ </w:t>
      </w:r>
      <w:r>
        <w:rPr>
          <w:rFonts w:ascii="Calibri" w:hAnsi="Calibri"/>
        </w:rPr>
        <w:t>87.754,2 millones, lo cual significó un incremento de 20,9% con respecto al año anterior.</w:t>
      </w:r>
    </w:p>
    <w:p w:rsidR="00984BC3" w:rsidRDefault="00984BC3" w:rsidP="00984BC3">
      <w:pPr>
        <w:jc w:val="both"/>
        <w:rPr>
          <w:rFonts w:ascii="Calibri" w:hAnsi="Calibri"/>
        </w:rPr>
      </w:pPr>
    </w:p>
    <w:p w:rsidR="00984BC3" w:rsidRDefault="00984BC3" w:rsidP="00984BC3">
      <w:pPr>
        <w:suppressAutoHyphens/>
        <w:jc w:val="both"/>
        <w:rPr>
          <w:rFonts w:ascii="Calibri" w:hAnsi="Calibri"/>
        </w:rPr>
      </w:pPr>
      <w:r>
        <w:rPr>
          <w:rFonts w:ascii="Calibri" w:hAnsi="Calibri"/>
        </w:rPr>
        <w:t>Por su parte, los Tributos de Origen Provincial presentan una variación positiva de 31,2%, mostrando un menor incremento que los recursos de Origen Nacional (37,4%).</w:t>
      </w:r>
    </w:p>
    <w:p w:rsidR="00984BC3" w:rsidRDefault="00984BC3" w:rsidP="00984BC3">
      <w:pPr>
        <w:suppressAutoHyphens/>
        <w:jc w:val="both"/>
        <w:rPr>
          <w:rFonts w:ascii="Calibri" w:hAnsi="Calibri"/>
        </w:rPr>
      </w:pPr>
    </w:p>
    <w:p w:rsidR="00984BC3" w:rsidRDefault="00984BC3" w:rsidP="00984BC3">
      <w:pPr>
        <w:suppressAutoHyphens/>
        <w:jc w:val="both"/>
        <w:rPr>
          <w:rFonts w:ascii="Calibri" w:hAnsi="Calibri"/>
        </w:rPr>
      </w:pPr>
      <w:r>
        <w:rPr>
          <w:rFonts w:ascii="Calibri" w:hAnsi="Calibri"/>
        </w:rPr>
        <w:t>La recaudación de Ingresos Brutos, con un aumento de 33,9%, aportó 76,9% del producido de los recursos tributarios de origen provincial. La variación relativa de este impuesto de origen provincial resulta superior a la de los restantes: Automotores culminó 2020 con un aumento de 31,3%; Inmuebles, de 29,3% y Sellos, de 17,</w:t>
      </w:r>
      <w:r w:rsidR="0006515E">
        <w:rPr>
          <w:rFonts w:ascii="Calibri" w:hAnsi="Calibri"/>
        </w:rPr>
        <w:t>9</w:t>
      </w:r>
      <w:r>
        <w:rPr>
          <w:rFonts w:ascii="Calibri" w:hAnsi="Calibri"/>
        </w:rPr>
        <w:t xml:space="preserve">%; mientras que </w:t>
      </w:r>
      <w:r w:rsidR="009D62F2">
        <w:rPr>
          <w:rFonts w:ascii="Calibri" w:hAnsi="Calibri"/>
        </w:rPr>
        <w:t>el resto de</w:t>
      </w:r>
      <w:r>
        <w:rPr>
          <w:rFonts w:ascii="Calibri" w:hAnsi="Calibri"/>
        </w:rPr>
        <w:t xml:space="preserve"> Otros Tributos, apenas </w:t>
      </w:r>
      <w:r w:rsidR="0006515E">
        <w:rPr>
          <w:rFonts w:ascii="Calibri" w:hAnsi="Calibri"/>
        </w:rPr>
        <w:t>se incrementan 0,8%</w:t>
      </w:r>
      <w:r>
        <w:rPr>
          <w:rFonts w:ascii="Calibri" w:hAnsi="Calibri"/>
        </w:rPr>
        <w:t>. Cabe destacar, que el Consenso Fiscal 2019 (Ley 27.542) suspendió los compromisos de reducción gradual de la presión impositiva local impulsada por el Consenso Fiscal 2017.</w:t>
      </w:r>
    </w:p>
    <w:p w:rsidR="00984BC3" w:rsidRDefault="00984BC3" w:rsidP="00984BC3">
      <w:pPr>
        <w:suppressAutoHyphens/>
        <w:jc w:val="both"/>
        <w:rPr>
          <w:rFonts w:ascii="Calibri" w:hAnsi="Calibri"/>
        </w:rPr>
      </w:pPr>
    </w:p>
    <w:p w:rsidR="00984BC3" w:rsidRDefault="00984BC3" w:rsidP="00984BC3">
      <w:pPr>
        <w:suppressAutoHyphens/>
        <w:jc w:val="both"/>
        <w:rPr>
          <w:rFonts w:ascii="Calibri" w:hAnsi="Calibri"/>
        </w:rPr>
      </w:pPr>
      <w:r>
        <w:rPr>
          <w:rFonts w:ascii="Calibri" w:hAnsi="Calibri"/>
        </w:rPr>
        <w:lastRenderedPageBreak/>
        <w:t>Los Ingresos No Tributarios destacan con una caída de 7,7%, explicada mayormente por el modesto desempeño de las Regalías Hidrocarburíferas (6,1%) que no compensa la caída de los clasificados como Otros ingresos No Tributarios (16,0%). La dinámica de dichas regalías estuvo principalmente determinada por la evolución del tipo de cambio y del precio internacional del petróleo crudo, el cual bajó notablemente debido a la contracción de la demanda de petróleo originada por la pandemia, lo que motivó al establecimiento de una política de precio de referencia en el mercado local de entregas, que estuvo vigente hasta la recuperación del precio por arriba del valor de referencia establecido (Decreto PEN 488/2020).</w:t>
      </w:r>
    </w:p>
    <w:p w:rsidR="00984BC3" w:rsidRDefault="00984BC3" w:rsidP="00984BC3">
      <w:pPr>
        <w:suppressAutoHyphens/>
        <w:jc w:val="both"/>
        <w:rPr>
          <w:rFonts w:ascii="Calibri" w:hAnsi="Calibri"/>
        </w:rPr>
      </w:pPr>
    </w:p>
    <w:p w:rsidR="00984BC3" w:rsidRDefault="00984BC3" w:rsidP="00984BC3">
      <w:pPr>
        <w:suppressAutoHyphens/>
        <w:jc w:val="both"/>
        <w:rPr>
          <w:rFonts w:ascii="Calibri" w:hAnsi="Calibri"/>
        </w:rPr>
      </w:pPr>
      <w:r>
        <w:rPr>
          <w:rFonts w:ascii="Calibri" w:hAnsi="Calibri"/>
        </w:rPr>
        <w:t>Además, debe destacarse que el comportamiento de los Recursos Tributarios y No Tributarios se ve influido por la emergencia sanitaria derivada de la situación de pandemia emitida por la Organización Mundial de la Salud. En este contexto, a partir del Decreto PEN 297/2020 -que estableció el aislamiento social, preventivo y obligatorio en la República Argentina-, los Gobiernos Provinciales y de la Ciudad Autónoma de Buenos Aires adoptaron diversas medidas administrativas, de postergación de vencimientos y de eximición del pago de impuestos y tasas locales.</w:t>
      </w:r>
    </w:p>
    <w:p w:rsidR="00984BC3" w:rsidRDefault="00984BC3" w:rsidP="00984BC3">
      <w:pPr>
        <w:suppressAutoHyphens/>
        <w:jc w:val="both"/>
        <w:rPr>
          <w:rFonts w:ascii="Calibri" w:hAnsi="Calibri"/>
        </w:rPr>
      </w:pPr>
    </w:p>
    <w:p w:rsidR="00984BC3" w:rsidRDefault="00984BC3" w:rsidP="00984BC3">
      <w:pPr>
        <w:suppressAutoHyphens/>
        <w:jc w:val="both"/>
        <w:rPr>
          <w:rFonts w:ascii="Calibri" w:hAnsi="Calibri"/>
        </w:rPr>
      </w:pPr>
      <w:r>
        <w:rPr>
          <w:rFonts w:ascii="Calibri" w:hAnsi="Calibri"/>
        </w:rPr>
        <w:t>Los ingresos por Contribuciones de la Seguridad Social se incrementaron 32,4% en 2020, contribuyendo con 9,6% del aumento total de recursos. Como se menciona en el apartado respectivo a Gastos en Personal, la suba de estos recursos se encuentra principalmente relacionada con la dinámica salarial del empleo público provincial. Cabe recordar que sólo 13 Provincias perciben ingresos por este concepto, ya que 11 Jurisdicciones transfirieron sus Sistemas Previsionales a la Administración Nacional.</w:t>
      </w:r>
    </w:p>
    <w:p w:rsidR="00984BC3" w:rsidRDefault="00984BC3" w:rsidP="00984BC3">
      <w:pPr>
        <w:suppressAutoHyphens/>
        <w:jc w:val="both"/>
        <w:rPr>
          <w:rFonts w:ascii="Calibri" w:hAnsi="Calibri"/>
        </w:rPr>
      </w:pPr>
    </w:p>
    <w:p w:rsidR="00984BC3" w:rsidRDefault="00984BC3" w:rsidP="00984BC3">
      <w:pPr>
        <w:suppressAutoHyphens/>
        <w:jc w:val="both"/>
        <w:rPr>
          <w:rFonts w:ascii="Calibri" w:hAnsi="Calibri"/>
        </w:rPr>
      </w:pPr>
      <w:r>
        <w:rPr>
          <w:rFonts w:ascii="Calibri" w:hAnsi="Calibri"/>
        </w:rPr>
        <w:t xml:space="preserve">Los Ingresos por Transferencias Corrientes se incrementaron 158,4%, </w:t>
      </w:r>
      <w:r w:rsidR="00790922">
        <w:rPr>
          <w:rFonts w:ascii="Calibri" w:hAnsi="Calibri"/>
        </w:rPr>
        <w:t xml:space="preserve">principalmente </w:t>
      </w:r>
      <w:r>
        <w:rPr>
          <w:rFonts w:ascii="Calibri" w:hAnsi="Calibri"/>
        </w:rPr>
        <w:t>como consecuencia de los aportes especiales realizados por el Gobierno Nacional en el marco de la Emergencia Sanitaria</w:t>
      </w:r>
      <w:r w:rsidR="00790922">
        <w:rPr>
          <w:rFonts w:ascii="Calibri" w:hAnsi="Calibri"/>
        </w:rPr>
        <w:t>,</w:t>
      </w:r>
      <w:r>
        <w:rPr>
          <w:rFonts w:ascii="Calibri" w:hAnsi="Calibri"/>
        </w:rPr>
        <w:t xml:space="preserve"> entre los que se destacan las transferencias del Programa para la Emergencia Financiera Provincial (Decreto 352/2020)</w:t>
      </w:r>
      <w:r w:rsidR="00790922">
        <w:rPr>
          <w:rFonts w:ascii="Calibri" w:hAnsi="Calibri"/>
        </w:rPr>
        <w:t>, tanto como</w:t>
      </w:r>
      <w:r>
        <w:rPr>
          <w:rFonts w:ascii="Calibri" w:hAnsi="Calibri"/>
        </w:rPr>
        <w:t xml:space="preserve"> los aportes del tesoro y </w:t>
      </w:r>
      <w:r w:rsidR="00790922">
        <w:rPr>
          <w:rFonts w:ascii="Calibri" w:hAnsi="Calibri"/>
        </w:rPr>
        <w:t xml:space="preserve">otros aportes </w:t>
      </w:r>
      <w:r>
        <w:rPr>
          <w:rFonts w:ascii="Calibri" w:hAnsi="Calibri"/>
        </w:rPr>
        <w:t>no reintegrables otorgados a las Jurisdicciones.</w:t>
      </w:r>
    </w:p>
    <w:p w:rsidR="00984BC3" w:rsidRDefault="00984BC3" w:rsidP="00984BC3">
      <w:pPr>
        <w:suppressAutoHyphens/>
        <w:jc w:val="both"/>
        <w:rPr>
          <w:rFonts w:ascii="Calibri" w:hAnsi="Calibri"/>
        </w:rPr>
      </w:pPr>
    </w:p>
    <w:p w:rsidR="00984BC3" w:rsidRDefault="00984BC3" w:rsidP="00984BC3">
      <w:pPr>
        <w:suppressAutoHyphens/>
        <w:jc w:val="both"/>
        <w:rPr>
          <w:rFonts w:ascii="Calibri" w:hAnsi="Calibri"/>
        </w:rPr>
      </w:pPr>
      <w:r>
        <w:rPr>
          <w:rFonts w:ascii="Calibri" w:hAnsi="Calibri"/>
        </w:rPr>
        <w:t>Los ingresos por las Transferencias de Capital, también originados principalmente desde el Gobierno Nacional, crecieron 13,7%. Debe destacarse que el destino de estas transferencias está relacionado –mayoritariamente- con la ejecución de obras públicas, gastos que se vieron afectados en el marco de las medidas de aislamiento social dispuestas para afrontar la pandemia.</w:t>
      </w:r>
    </w:p>
    <w:p w:rsidR="00984BC3" w:rsidRDefault="00984BC3" w:rsidP="00984BC3">
      <w:pPr>
        <w:suppressAutoHyphens/>
        <w:jc w:val="both"/>
        <w:rPr>
          <w:rFonts w:ascii="Calibri" w:hAnsi="Calibri"/>
        </w:rPr>
      </w:pPr>
    </w:p>
    <w:p w:rsidR="00984BC3" w:rsidRPr="005C400A" w:rsidRDefault="00984BC3" w:rsidP="00984BC3">
      <w:pPr>
        <w:suppressAutoHyphens/>
        <w:jc w:val="both"/>
        <w:rPr>
          <w:rFonts w:ascii="Calibri" w:hAnsi="Calibri"/>
        </w:rPr>
      </w:pPr>
      <w:r>
        <w:rPr>
          <w:rFonts w:ascii="Calibri" w:hAnsi="Calibri"/>
        </w:rPr>
        <w:t>En lo que respecta a los ingresos por Rentas de la Propiedad se observa una disminución interanual de 38,9%, en tanto que la Disminución de la Inversión Financiera –vinculada principalmente con el Recupero de Préstamos -se incrementa un 17,8%, y las Ventas de Bienes y Servicios aumentan 14,4%. Los Recursos Propios de Capital presentan un retroceso de 31,3%, debido a que en 2019 se habían vendido terrenos a valores significativos. Corresponde remarcar que el comportamiento de todos estos conceptos tiene escasa relevancia en los ingresos totales</w:t>
      </w:r>
      <w:r w:rsidRPr="005C400A">
        <w:rPr>
          <w:rFonts w:ascii="Calibri" w:hAnsi="Calibri"/>
        </w:rPr>
        <w:t>.</w:t>
      </w:r>
    </w:p>
    <w:p w:rsidR="00984BC3" w:rsidRDefault="00984BC3" w:rsidP="00984BC3">
      <w:pPr>
        <w:suppressAutoHyphens/>
        <w:jc w:val="both"/>
        <w:rPr>
          <w:rFonts w:ascii="Calibri" w:hAnsi="Calibri"/>
        </w:rPr>
      </w:pPr>
    </w:p>
    <w:p w:rsidR="00984BC3" w:rsidRDefault="00984BC3" w:rsidP="00984BC3">
      <w:pPr>
        <w:suppressAutoHyphens/>
        <w:jc w:val="both"/>
        <w:rPr>
          <w:rFonts w:ascii="Calibri" w:hAnsi="Calibri" w:cs="Arial"/>
        </w:rPr>
      </w:pPr>
      <w:r>
        <w:rPr>
          <w:rFonts w:ascii="Calibri" w:hAnsi="Calibri" w:cs="Arial"/>
        </w:rPr>
        <w:lastRenderedPageBreak/>
        <w:t>El Gráfico 1 muestra la participación de las principales categorías de recursos en el total de ingresos para el consolidado de 24 jurisdicciones al término del ejercicio 2020.</w:t>
      </w:r>
      <w:r>
        <w:t xml:space="preserve"> </w:t>
      </w:r>
      <w:r>
        <w:rPr>
          <w:rFonts w:ascii="Calibri" w:hAnsi="Calibri" w:cs="Arial"/>
        </w:rPr>
        <w:t>Los Ingresos Tributarios aportan 75,9% de las rentas de Provincias y Ciudad de Buenos Aires (47,1% los de origen nacional y 28,8% los de origen provincial) seguidos en importancia por las Contribuciones a la Seguridad Social (10,1%), las Transferencias Corrientes (7,0%), los Ingresos No Tributarios (4,3%), y las Transferencias de Capital (0,8%).</w:t>
      </w:r>
    </w:p>
    <w:p w:rsidR="00984BC3" w:rsidRDefault="00984BC3" w:rsidP="00984BC3">
      <w:pPr>
        <w:suppressAutoHyphens/>
        <w:jc w:val="both"/>
        <w:rPr>
          <w:rFonts w:ascii="Calibri" w:hAnsi="Calibri" w:cs="Arial"/>
        </w:rPr>
      </w:pPr>
    </w:p>
    <w:p w:rsidR="00984BC3" w:rsidRPr="0082736B" w:rsidRDefault="00984BC3" w:rsidP="00984BC3">
      <w:pPr>
        <w:suppressAutoHyphens/>
        <w:jc w:val="center"/>
        <w:rPr>
          <w:rFonts w:ascii="Calibri" w:hAnsi="Calibri" w:cs="Arial"/>
        </w:rPr>
      </w:pPr>
      <w:r w:rsidRPr="0082736B">
        <w:rPr>
          <w:rFonts w:ascii="Calibri" w:hAnsi="Calibri" w:cs="Arial"/>
          <w:b/>
        </w:rPr>
        <w:t>Gráfico 1.</w:t>
      </w:r>
      <w:r w:rsidRPr="0082736B">
        <w:rPr>
          <w:rFonts w:ascii="Calibri" w:hAnsi="Calibri" w:cs="Arial"/>
        </w:rPr>
        <w:t xml:space="preserve"> Estructura porcentual de los ingresos</w:t>
      </w:r>
    </w:p>
    <w:p w:rsidR="00984BC3" w:rsidRPr="0082736B" w:rsidRDefault="0082736B" w:rsidP="00984BC3">
      <w:pPr>
        <w:suppressAutoHyphens/>
        <w:spacing w:after="120"/>
        <w:jc w:val="center"/>
        <w:rPr>
          <w:rFonts w:ascii="Calibri" w:hAnsi="Calibri" w:cs="Arial"/>
        </w:rPr>
      </w:pPr>
      <w:r w:rsidRPr="0082736B">
        <w:rPr>
          <w:rFonts w:ascii="Calibri" w:hAnsi="Calibri" w:cs="Arial"/>
        </w:rPr>
        <w:t>IV Trimestre</w:t>
      </w:r>
      <w:r w:rsidR="00984BC3" w:rsidRPr="0082736B">
        <w:rPr>
          <w:rFonts w:ascii="Calibri" w:hAnsi="Calibri" w:cs="Arial"/>
        </w:rPr>
        <w:t xml:space="preserve"> 20</w:t>
      </w:r>
      <w:r>
        <w:rPr>
          <w:rFonts w:ascii="Calibri" w:hAnsi="Calibri" w:cs="Arial"/>
        </w:rPr>
        <w:t>20</w:t>
      </w:r>
    </w:p>
    <w:p w:rsidR="00984BC3" w:rsidRPr="0082736B" w:rsidRDefault="009D7CB2" w:rsidP="00984BC3">
      <w:pPr>
        <w:suppressAutoHyphens/>
        <w:spacing w:after="120"/>
        <w:jc w:val="center"/>
        <w:rPr>
          <w:rFonts w:ascii="Calibri" w:hAnsi="Calibri" w:cs="Arial"/>
        </w:rPr>
      </w:pPr>
      <w:r w:rsidRPr="0082736B">
        <w:rPr>
          <w:rFonts w:ascii="Calibri" w:hAnsi="Calibri" w:cs="Arial"/>
          <w:noProof/>
          <w:lang w:val="es-AR" w:eastAsia="es-AR"/>
        </w:rPr>
        <w:drawing>
          <wp:inline distT="0" distB="0" distL="0" distR="0">
            <wp:extent cx="5292090" cy="3253740"/>
            <wp:effectExtent l="19050" t="19050" r="3810" b="381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92090" cy="3253740"/>
                    </a:xfrm>
                    <a:prstGeom prst="rect">
                      <a:avLst/>
                    </a:prstGeom>
                    <a:noFill/>
                    <a:ln w="15875">
                      <a:solidFill>
                        <a:srgbClr val="000000"/>
                      </a:solidFill>
                      <a:miter lim="800000"/>
                      <a:headEnd/>
                      <a:tailEnd/>
                    </a:ln>
                  </pic:spPr>
                </pic:pic>
              </a:graphicData>
            </a:graphic>
          </wp:inline>
        </w:drawing>
      </w:r>
    </w:p>
    <w:p w:rsidR="00984BC3" w:rsidRPr="00635410" w:rsidRDefault="00984BC3" w:rsidP="00984BC3">
      <w:pPr>
        <w:suppressAutoHyphens/>
        <w:ind w:left="284"/>
        <w:rPr>
          <w:rFonts w:ascii="Calibri" w:hAnsi="Calibri"/>
          <w:sz w:val="20"/>
          <w:szCs w:val="20"/>
        </w:rPr>
      </w:pPr>
      <w:r w:rsidRPr="00635410">
        <w:rPr>
          <w:rFonts w:ascii="Calibri" w:hAnsi="Calibri"/>
          <w:b/>
          <w:sz w:val="20"/>
          <w:szCs w:val="20"/>
        </w:rPr>
        <w:t xml:space="preserve">(1): </w:t>
      </w:r>
      <w:r w:rsidRPr="00635410">
        <w:rPr>
          <w:rFonts w:ascii="Calibri" w:hAnsi="Calibri"/>
          <w:sz w:val="20"/>
          <w:szCs w:val="20"/>
        </w:rPr>
        <w:t>Otros ingresos provinciales, comprende Rentas de la Propiedad, Venta de Bienes y Servicios de la Administración Pública</w:t>
      </w:r>
      <w:r>
        <w:rPr>
          <w:rFonts w:ascii="Calibri" w:hAnsi="Calibri"/>
          <w:sz w:val="20"/>
          <w:szCs w:val="20"/>
        </w:rPr>
        <w:t xml:space="preserve">, Recursos propios </w:t>
      </w:r>
      <w:r w:rsidRPr="00635410">
        <w:rPr>
          <w:rFonts w:ascii="Calibri" w:hAnsi="Calibri"/>
          <w:sz w:val="20"/>
          <w:szCs w:val="20"/>
        </w:rPr>
        <w:t>de Capital</w:t>
      </w:r>
      <w:r>
        <w:rPr>
          <w:rFonts w:ascii="Calibri" w:hAnsi="Calibri"/>
          <w:sz w:val="20"/>
          <w:szCs w:val="20"/>
        </w:rPr>
        <w:t xml:space="preserve"> y Disminución de la Inversión Financiera.</w:t>
      </w:r>
    </w:p>
    <w:p w:rsidR="00984BC3" w:rsidRPr="00635410" w:rsidRDefault="00984BC3" w:rsidP="00984BC3">
      <w:pPr>
        <w:suppressAutoHyphens/>
        <w:ind w:left="284"/>
        <w:jc w:val="both"/>
        <w:rPr>
          <w:rFonts w:ascii="Calibri" w:hAnsi="Calibri"/>
          <w:sz w:val="20"/>
          <w:szCs w:val="20"/>
        </w:rPr>
      </w:pPr>
      <w:r w:rsidRPr="00635410">
        <w:rPr>
          <w:rFonts w:ascii="Calibri" w:hAnsi="Calibri"/>
          <w:b/>
          <w:sz w:val="20"/>
          <w:szCs w:val="20"/>
        </w:rPr>
        <w:t>Fuente</w:t>
      </w:r>
      <w:r w:rsidRPr="00635410">
        <w:rPr>
          <w:rFonts w:ascii="Calibri" w:hAnsi="Calibri"/>
          <w:sz w:val="20"/>
          <w:szCs w:val="20"/>
        </w:rPr>
        <w:t>: Secretaria de Hacienda en base a información provista por las jurisdicciones</w:t>
      </w:r>
    </w:p>
    <w:p w:rsidR="00984BC3" w:rsidRPr="001A0D1D" w:rsidRDefault="00984BC3" w:rsidP="00984BC3">
      <w:pPr>
        <w:suppressAutoHyphens/>
        <w:jc w:val="both"/>
        <w:rPr>
          <w:rFonts w:ascii="Calibri" w:hAnsi="Calibri" w:cs="Arial"/>
          <w:highlight w:val="yellow"/>
        </w:rPr>
      </w:pPr>
    </w:p>
    <w:p w:rsidR="00984BC3" w:rsidRDefault="00984BC3" w:rsidP="00984BC3">
      <w:pPr>
        <w:suppressAutoHyphens/>
        <w:jc w:val="both"/>
        <w:rPr>
          <w:rFonts w:ascii="Calibri" w:hAnsi="Calibri" w:cs="Arial"/>
        </w:rPr>
      </w:pPr>
      <w:r>
        <w:rPr>
          <w:rFonts w:ascii="Calibri" w:hAnsi="Calibri" w:cs="Arial"/>
        </w:rPr>
        <w:t xml:space="preserve">El indicador de </w:t>
      </w:r>
      <w:r>
        <w:rPr>
          <w:rFonts w:ascii="Calibri" w:hAnsi="Calibri" w:cs="Arial"/>
          <w:i/>
        </w:rPr>
        <w:t>autofinanciamiento</w:t>
      </w:r>
      <w:r>
        <w:rPr>
          <w:rFonts w:ascii="Calibri" w:hAnsi="Calibri" w:cs="Arial"/>
        </w:rPr>
        <w:t xml:space="preserve"> provincial, definido a partir de la relación entre los ingresos provinciales</w:t>
      </w:r>
      <w:r>
        <w:rPr>
          <w:rStyle w:val="Refdenotaalpie"/>
          <w:rFonts w:ascii="Calibri" w:hAnsi="Calibri" w:cs="Arial"/>
        </w:rPr>
        <w:footnoteReference w:id="2"/>
      </w:r>
      <w:r>
        <w:rPr>
          <w:rFonts w:ascii="Calibri" w:hAnsi="Calibri" w:cs="Arial"/>
        </w:rPr>
        <w:t xml:space="preserve"> y los ingresos totales, alcanzó 45,0% al término del ejercicio 2020, marcando una caída respecto del registro de 2019 (49,2%).</w:t>
      </w:r>
    </w:p>
    <w:p w:rsidR="00984BC3" w:rsidRDefault="00984BC3" w:rsidP="00984BC3">
      <w:pPr>
        <w:suppressAutoHyphens/>
        <w:jc w:val="both"/>
        <w:rPr>
          <w:rFonts w:ascii="Calibri" w:hAnsi="Calibri" w:cs="Arial"/>
        </w:rPr>
      </w:pPr>
    </w:p>
    <w:p w:rsidR="00870DEA" w:rsidRPr="001A0D1D" w:rsidRDefault="00870DEA" w:rsidP="00870DEA">
      <w:pPr>
        <w:suppressAutoHyphens/>
        <w:jc w:val="both"/>
        <w:rPr>
          <w:rFonts w:ascii="Calibri" w:hAnsi="Calibri" w:cs="Arial"/>
        </w:rPr>
      </w:pPr>
    </w:p>
    <w:p w:rsidR="00413AED" w:rsidRPr="00C668B6" w:rsidRDefault="005C400A" w:rsidP="00C668B6">
      <w:pPr>
        <w:pStyle w:val="Ttulo1"/>
        <w:numPr>
          <w:ilvl w:val="0"/>
          <w:numId w:val="0"/>
        </w:numPr>
        <w:pBdr>
          <w:bottom w:val="single" w:sz="4" w:space="1" w:color="auto"/>
        </w:pBdr>
        <w:suppressAutoHyphens/>
        <w:spacing w:before="0" w:after="0"/>
        <w:rPr>
          <w:rFonts w:ascii="Calibri" w:hAnsi="Calibri" w:cs="Times New Roman"/>
          <w:color w:val="595959"/>
          <w:sz w:val="28"/>
          <w:szCs w:val="28"/>
        </w:rPr>
      </w:pPr>
      <w:r>
        <w:rPr>
          <w:rFonts w:ascii="Calibri" w:hAnsi="Calibri" w:cs="Times New Roman"/>
          <w:color w:val="595959"/>
          <w:sz w:val="28"/>
          <w:szCs w:val="28"/>
        </w:rPr>
        <w:br w:type="page"/>
      </w:r>
      <w:bookmarkStart w:id="12" w:name="_Toc99450867"/>
      <w:r w:rsidR="00C32085" w:rsidRPr="00C668B6">
        <w:rPr>
          <w:rFonts w:ascii="Calibri" w:hAnsi="Calibri" w:cs="Times New Roman"/>
          <w:color w:val="595959"/>
          <w:sz w:val="28"/>
          <w:szCs w:val="28"/>
        </w:rPr>
        <w:lastRenderedPageBreak/>
        <w:t>5</w:t>
      </w:r>
      <w:r w:rsidR="00A2150E" w:rsidRPr="00C668B6">
        <w:rPr>
          <w:rFonts w:ascii="Calibri" w:hAnsi="Calibri" w:cs="Times New Roman"/>
          <w:color w:val="595959"/>
          <w:sz w:val="28"/>
          <w:szCs w:val="28"/>
        </w:rPr>
        <w:t>.</w:t>
      </w:r>
      <w:r w:rsidR="00C217A9" w:rsidRPr="00C668B6">
        <w:rPr>
          <w:rFonts w:ascii="Calibri" w:hAnsi="Calibri" w:cs="Times New Roman"/>
          <w:color w:val="595959"/>
          <w:sz w:val="28"/>
          <w:szCs w:val="28"/>
        </w:rPr>
        <w:t xml:space="preserve"> </w:t>
      </w:r>
      <w:r w:rsidR="00A46EB3" w:rsidRPr="00C668B6">
        <w:rPr>
          <w:rFonts w:ascii="Calibri" w:hAnsi="Calibri" w:cs="Times New Roman"/>
          <w:color w:val="595959"/>
          <w:sz w:val="28"/>
          <w:szCs w:val="28"/>
        </w:rPr>
        <w:t>GASTOS</w:t>
      </w:r>
      <w:bookmarkEnd w:id="12"/>
    </w:p>
    <w:p w:rsidR="00AA303A" w:rsidRPr="001A0D1D" w:rsidRDefault="00AA303A" w:rsidP="00C32085">
      <w:pPr>
        <w:pBdr>
          <w:top w:val="single" w:sz="4" w:space="1" w:color="auto"/>
        </w:pBdr>
        <w:rPr>
          <w:rFonts w:ascii="Calibri" w:hAnsi="Calibri" w:cs="Arial"/>
        </w:rPr>
      </w:pPr>
    </w:p>
    <w:p w:rsidR="00AA303A" w:rsidRPr="00C668B6" w:rsidRDefault="00C32085" w:rsidP="00C668B6">
      <w:pPr>
        <w:pStyle w:val="TDC3"/>
        <w:keepNext/>
        <w:tabs>
          <w:tab w:val="right" w:pos="284"/>
          <w:tab w:val="right" w:leader="dot" w:pos="8789"/>
        </w:tabs>
        <w:suppressAutoHyphens/>
        <w:spacing w:before="120"/>
        <w:ind w:left="567"/>
        <w:outlineLvl w:val="2"/>
        <w:rPr>
          <w:rFonts w:ascii="Calibri" w:hAnsi="Calibri"/>
          <w:b/>
          <w:color w:val="595959"/>
          <w:kern w:val="32"/>
          <w:sz w:val="26"/>
        </w:rPr>
      </w:pPr>
      <w:bookmarkStart w:id="13" w:name="_Toc99450868"/>
      <w:r w:rsidRPr="00C668B6">
        <w:rPr>
          <w:rFonts w:ascii="Calibri" w:hAnsi="Calibri"/>
          <w:b/>
          <w:color w:val="595959"/>
          <w:kern w:val="32"/>
          <w:sz w:val="26"/>
        </w:rPr>
        <w:t xml:space="preserve">5.1. </w:t>
      </w:r>
      <w:r w:rsidR="007E4C59" w:rsidRPr="00C668B6">
        <w:rPr>
          <w:rFonts w:ascii="Calibri" w:hAnsi="Calibri"/>
          <w:b/>
          <w:color w:val="595959"/>
          <w:kern w:val="32"/>
          <w:sz w:val="26"/>
        </w:rPr>
        <w:t xml:space="preserve">Análisis del Gasto por </w:t>
      </w:r>
      <w:r w:rsidR="00957EFD" w:rsidRPr="00C668B6">
        <w:rPr>
          <w:rFonts w:ascii="Calibri" w:hAnsi="Calibri"/>
          <w:b/>
          <w:color w:val="595959"/>
          <w:kern w:val="32"/>
          <w:sz w:val="26"/>
        </w:rPr>
        <w:t>Clasificación Económica y por O</w:t>
      </w:r>
      <w:r w:rsidR="00AA303A" w:rsidRPr="00C668B6">
        <w:rPr>
          <w:rFonts w:ascii="Calibri" w:hAnsi="Calibri"/>
          <w:b/>
          <w:color w:val="595959"/>
          <w:kern w:val="32"/>
          <w:sz w:val="26"/>
        </w:rPr>
        <w:t>bjeto</w:t>
      </w:r>
      <w:bookmarkEnd w:id="13"/>
    </w:p>
    <w:p w:rsidR="00B85203" w:rsidRPr="001517FD" w:rsidRDefault="00B85203" w:rsidP="0076644C">
      <w:pPr>
        <w:suppressAutoHyphens/>
        <w:jc w:val="both"/>
        <w:rPr>
          <w:rFonts w:ascii="Calibri" w:hAnsi="Calibri"/>
        </w:rPr>
      </w:pPr>
    </w:p>
    <w:p w:rsidR="00D3205E" w:rsidRPr="005C400A" w:rsidRDefault="00B85203" w:rsidP="0076644C">
      <w:pPr>
        <w:suppressAutoHyphens/>
        <w:jc w:val="both"/>
        <w:rPr>
          <w:rFonts w:ascii="Calibri" w:hAnsi="Calibri"/>
        </w:rPr>
      </w:pPr>
      <w:r w:rsidRPr="005C400A">
        <w:rPr>
          <w:rFonts w:ascii="Calibri" w:hAnsi="Calibri"/>
        </w:rPr>
        <w:t xml:space="preserve">El gasto total </w:t>
      </w:r>
      <w:r w:rsidR="00475DA7" w:rsidRPr="005C400A">
        <w:rPr>
          <w:rFonts w:ascii="Calibri" w:hAnsi="Calibri"/>
        </w:rPr>
        <w:t xml:space="preserve">acumulado </w:t>
      </w:r>
      <w:r w:rsidR="00F26297" w:rsidRPr="005C400A">
        <w:rPr>
          <w:rFonts w:ascii="Calibri" w:hAnsi="Calibri"/>
        </w:rPr>
        <w:t xml:space="preserve">al </w:t>
      </w:r>
      <w:r w:rsidR="00441BE5" w:rsidRPr="005C400A">
        <w:rPr>
          <w:rFonts w:ascii="Calibri" w:hAnsi="Calibri"/>
        </w:rPr>
        <w:t>cuarto</w:t>
      </w:r>
      <w:r w:rsidR="002D1F4A" w:rsidRPr="005C400A">
        <w:rPr>
          <w:rFonts w:ascii="Calibri" w:hAnsi="Calibri"/>
        </w:rPr>
        <w:t xml:space="preserve"> tri</w:t>
      </w:r>
      <w:r w:rsidR="004B63C9" w:rsidRPr="005C400A">
        <w:rPr>
          <w:rFonts w:ascii="Calibri" w:hAnsi="Calibri"/>
        </w:rPr>
        <w:t>mestre</w:t>
      </w:r>
      <w:r w:rsidR="00C652BF" w:rsidRPr="005C400A">
        <w:rPr>
          <w:rFonts w:ascii="Calibri" w:hAnsi="Calibri"/>
        </w:rPr>
        <w:t xml:space="preserve"> de 20</w:t>
      </w:r>
      <w:r w:rsidR="005C400A" w:rsidRPr="005C400A">
        <w:rPr>
          <w:rFonts w:ascii="Calibri" w:hAnsi="Calibri"/>
        </w:rPr>
        <w:t>20</w:t>
      </w:r>
      <w:r w:rsidR="00475DA7" w:rsidRPr="005C400A">
        <w:rPr>
          <w:rFonts w:ascii="Calibri" w:hAnsi="Calibri"/>
        </w:rPr>
        <w:t xml:space="preserve"> para el consolidado de </w:t>
      </w:r>
      <w:r w:rsidR="00830ABA" w:rsidRPr="005C400A">
        <w:rPr>
          <w:rFonts w:ascii="Calibri" w:hAnsi="Calibri"/>
        </w:rPr>
        <w:t xml:space="preserve">las </w:t>
      </w:r>
      <w:r w:rsidR="00475DA7" w:rsidRPr="005C400A">
        <w:rPr>
          <w:rFonts w:ascii="Calibri" w:hAnsi="Calibri"/>
        </w:rPr>
        <w:t>24 jurisdicciones alcanzó la suma de</w:t>
      </w:r>
      <w:r w:rsidR="00C652BF" w:rsidRPr="005C400A">
        <w:rPr>
          <w:rFonts w:ascii="Calibri" w:hAnsi="Calibri"/>
        </w:rPr>
        <w:t xml:space="preserve"> </w:t>
      </w:r>
      <w:r w:rsidR="000211ED">
        <w:rPr>
          <w:rFonts w:ascii="Calibri" w:hAnsi="Calibri"/>
        </w:rPr>
        <w:t xml:space="preserve">$ </w:t>
      </w:r>
      <w:r w:rsidR="005C400A" w:rsidRPr="005C400A">
        <w:rPr>
          <w:rFonts w:ascii="Calibri" w:hAnsi="Calibri"/>
        </w:rPr>
        <w:t>4.821.179</w:t>
      </w:r>
      <w:r w:rsidRPr="005C400A">
        <w:rPr>
          <w:rFonts w:ascii="Calibri" w:hAnsi="Calibri"/>
        </w:rPr>
        <w:t xml:space="preserve"> millones</w:t>
      </w:r>
      <w:r w:rsidR="00ED599B" w:rsidRPr="005C400A">
        <w:rPr>
          <w:rFonts w:ascii="Calibri" w:hAnsi="Calibri"/>
        </w:rPr>
        <w:t>, lo que implicó un</w:t>
      </w:r>
      <w:r w:rsidR="00D3205E" w:rsidRPr="005C400A">
        <w:rPr>
          <w:rFonts w:ascii="Calibri" w:hAnsi="Calibri"/>
        </w:rPr>
        <w:t xml:space="preserve"> </w:t>
      </w:r>
      <w:r w:rsidR="00475DA7" w:rsidRPr="005C400A">
        <w:rPr>
          <w:rFonts w:ascii="Calibri" w:hAnsi="Calibri"/>
        </w:rPr>
        <w:t>crec</w:t>
      </w:r>
      <w:r w:rsidR="00ED599B" w:rsidRPr="005C400A">
        <w:rPr>
          <w:rFonts w:ascii="Calibri" w:hAnsi="Calibri"/>
        </w:rPr>
        <w:t>imiento de</w:t>
      </w:r>
      <w:r w:rsidR="00D3205E" w:rsidRPr="005C400A">
        <w:rPr>
          <w:rFonts w:ascii="Calibri" w:hAnsi="Calibri"/>
        </w:rPr>
        <w:t xml:space="preserve"> </w:t>
      </w:r>
      <w:r w:rsidR="005C400A" w:rsidRPr="005C400A">
        <w:rPr>
          <w:rFonts w:ascii="Calibri" w:hAnsi="Calibri"/>
        </w:rPr>
        <w:t>31,2</w:t>
      </w:r>
      <w:r w:rsidR="000211ED">
        <w:rPr>
          <w:rFonts w:ascii="Calibri" w:hAnsi="Calibri"/>
        </w:rPr>
        <w:t>%</w:t>
      </w:r>
      <w:r w:rsidR="00D3205E" w:rsidRPr="005C400A">
        <w:rPr>
          <w:rFonts w:ascii="Calibri" w:hAnsi="Calibri"/>
        </w:rPr>
        <w:t xml:space="preserve"> respecto a igual período del año anterior</w:t>
      </w:r>
      <w:r w:rsidR="00FF3B42" w:rsidRPr="005C400A">
        <w:rPr>
          <w:rFonts w:ascii="Calibri" w:hAnsi="Calibri"/>
        </w:rPr>
        <w:t xml:space="preserve"> (Cuadro </w:t>
      </w:r>
      <w:r w:rsidR="003D5D8C" w:rsidRPr="005C400A">
        <w:rPr>
          <w:rFonts w:ascii="Calibri" w:hAnsi="Calibri"/>
        </w:rPr>
        <w:t>4</w:t>
      </w:r>
      <w:r w:rsidR="00FF3B42" w:rsidRPr="005C400A">
        <w:rPr>
          <w:rFonts w:ascii="Calibri" w:hAnsi="Calibri"/>
        </w:rPr>
        <w:t>)</w:t>
      </w:r>
      <w:r w:rsidR="00EB412C" w:rsidRPr="005C400A">
        <w:rPr>
          <w:rFonts w:ascii="Calibri" w:hAnsi="Calibri"/>
        </w:rPr>
        <w:t>.</w:t>
      </w:r>
    </w:p>
    <w:p w:rsidR="00091876" w:rsidRPr="00532533" w:rsidRDefault="00091876" w:rsidP="00091876">
      <w:pPr>
        <w:suppressAutoHyphens/>
        <w:jc w:val="both"/>
        <w:rPr>
          <w:rFonts w:ascii="Calibri" w:hAnsi="Calibri"/>
          <w:highlight w:val="yellow"/>
        </w:rPr>
      </w:pPr>
    </w:p>
    <w:p w:rsidR="00FD5048" w:rsidRPr="00F133D6" w:rsidRDefault="00FD5048" w:rsidP="00FD5048">
      <w:pPr>
        <w:suppressAutoHyphens/>
        <w:jc w:val="center"/>
        <w:rPr>
          <w:rFonts w:ascii="Calibri" w:hAnsi="Calibri"/>
        </w:rPr>
      </w:pPr>
      <w:r w:rsidRPr="00F133D6">
        <w:rPr>
          <w:rFonts w:ascii="Calibri" w:hAnsi="Calibri"/>
          <w:b/>
        </w:rPr>
        <w:t xml:space="preserve">Cuadro </w:t>
      </w:r>
      <w:r w:rsidR="003D5D8C">
        <w:rPr>
          <w:rFonts w:ascii="Calibri" w:hAnsi="Calibri"/>
          <w:b/>
        </w:rPr>
        <w:t>4</w:t>
      </w:r>
      <w:r w:rsidRPr="00F133D6">
        <w:rPr>
          <w:rFonts w:ascii="Calibri" w:hAnsi="Calibri"/>
          <w:b/>
        </w:rPr>
        <w:t>.</w:t>
      </w:r>
      <w:r w:rsidRPr="00F133D6">
        <w:rPr>
          <w:rFonts w:ascii="Calibri" w:hAnsi="Calibri"/>
        </w:rPr>
        <w:t xml:space="preserve"> Gastos totales de la APNF</w:t>
      </w:r>
    </w:p>
    <w:p w:rsidR="00FD5048" w:rsidRPr="001A0D1D" w:rsidRDefault="00FD5048" w:rsidP="00FD5048">
      <w:pPr>
        <w:suppressAutoHyphens/>
        <w:jc w:val="center"/>
        <w:rPr>
          <w:rFonts w:ascii="Calibri" w:hAnsi="Calibri"/>
        </w:rPr>
      </w:pPr>
      <w:r w:rsidRPr="001A0D1D">
        <w:rPr>
          <w:rFonts w:ascii="Calibri" w:hAnsi="Calibri"/>
        </w:rPr>
        <w:t xml:space="preserve">Comparativo </w:t>
      </w:r>
      <w:r w:rsidR="00AC7B51" w:rsidRPr="001A0D1D">
        <w:rPr>
          <w:rFonts w:ascii="Calibri" w:hAnsi="Calibri"/>
        </w:rPr>
        <w:t>Acumulado al IV Trimestre</w:t>
      </w:r>
      <w:r w:rsidRPr="001A0D1D">
        <w:rPr>
          <w:rFonts w:ascii="Calibri" w:hAnsi="Calibri"/>
        </w:rPr>
        <w:t xml:space="preserve"> 20</w:t>
      </w:r>
      <w:r w:rsidR="0082736B">
        <w:rPr>
          <w:rFonts w:ascii="Calibri" w:hAnsi="Calibri"/>
        </w:rPr>
        <w:t>20</w:t>
      </w:r>
      <w:r w:rsidRPr="001A0D1D">
        <w:rPr>
          <w:rFonts w:ascii="Calibri" w:hAnsi="Calibri"/>
        </w:rPr>
        <w:t>-201</w:t>
      </w:r>
      <w:r w:rsidR="0082736B">
        <w:rPr>
          <w:rFonts w:ascii="Calibri" w:hAnsi="Calibri"/>
        </w:rPr>
        <w:t>9</w:t>
      </w:r>
    </w:p>
    <w:p w:rsidR="00FD5048" w:rsidRPr="00696972" w:rsidRDefault="00FD5048" w:rsidP="00FD5048">
      <w:pPr>
        <w:suppressAutoHyphens/>
        <w:spacing w:after="120"/>
        <w:jc w:val="center"/>
        <w:rPr>
          <w:rFonts w:ascii="Calibri" w:hAnsi="Calibri"/>
        </w:rPr>
      </w:pPr>
      <w:r>
        <w:rPr>
          <w:rFonts w:ascii="Calibri" w:hAnsi="Calibri"/>
        </w:rPr>
        <w:t>E</w:t>
      </w:r>
      <w:r w:rsidRPr="00F133D6">
        <w:rPr>
          <w:rFonts w:ascii="Calibri" w:hAnsi="Calibri"/>
        </w:rPr>
        <w:t>n millones de pesos</w:t>
      </w:r>
    </w:p>
    <w:p w:rsidR="00FD5048" w:rsidRPr="00B35277" w:rsidRDefault="009D7CB2" w:rsidP="00FD5048">
      <w:pPr>
        <w:suppressAutoHyphens/>
        <w:jc w:val="center"/>
        <w:rPr>
          <w:rFonts w:ascii="Calibri" w:hAnsi="Calibri"/>
          <w:sz w:val="20"/>
          <w:szCs w:val="20"/>
        </w:rPr>
      </w:pPr>
      <w:r w:rsidRPr="0082736B">
        <w:rPr>
          <w:noProof/>
          <w:lang w:val="es-AR" w:eastAsia="es-AR"/>
        </w:rPr>
        <w:drawing>
          <wp:inline distT="0" distB="0" distL="0" distR="0">
            <wp:extent cx="5631180" cy="3627120"/>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31180" cy="3627120"/>
                    </a:xfrm>
                    <a:prstGeom prst="rect">
                      <a:avLst/>
                    </a:prstGeom>
                    <a:noFill/>
                    <a:ln>
                      <a:noFill/>
                    </a:ln>
                  </pic:spPr>
                </pic:pic>
              </a:graphicData>
            </a:graphic>
          </wp:inline>
        </w:drawing>
      </w:r>
    </w:p>
    <w:p w:rsidR="00FD5048" w:rsidRDefault="00FD5048" w:rsidP="0082736B">
      <w:pPr>
        <w:suppressAutoHyphens/>
        <w:ind w:left="426"/>
        <w:jc w:val="both"/>
        <w:rPr>
          <w:rFonts w:ascii="Calibri" w:hAnsi="Calibri"/>
          <w:sz w:val="20"/>
          <w:szCs w:val="20"/>
        </w:rPr>
      </w:pPr>
      <w:r w:rsidRPr="00227F8B">
        <w:rPr>
          <w:rFonts w:ascii="Calibri" w:hAnsi="Calibri"/>
          <w:b/>
          <w:sz w:val="20"/>
          <w:szCs w:val="20"/>
        </w:rPr>
        <w:t>Fuente</w:t>
      </w:r>
      <w:r w:rsidRPr="007A06DC">
        <w:rPr>
          <w:rFonts w:ascii="Calibri" w:hAnsi="Calibri"/>
          <w:sz w:val="20"/>
          <w:szCs w:val="20"/>
        </w:rPr>
        <w:t xml:space="preserve">: </w:t>
      </w:r>
      <w:r>
        <w:rPr>
          <w:rFonts w:ascii="Calibri" w:hAnsi="Calibri"/>
          <w:sz w:val="20"/>
          <w:szCs w:val="20"/>
        </w:rPr>
        <w:t>Secretaria de Hacienda en base a información provista por las jurisdicciones</w:t>
      </w:r>
    </w:p>
    <w:p w:rsidR="00012BAB" w:rsidRDefault="00012BAB" w:rsidP="00012BAB">
      <w:pPr>
        <w:suppressAutoHyphens/>
        <w:jc w:val="both"/>
        <w:rPr>
          <w:rFonts w:ascii="Calibri" w:hAnsi="Calibri" w:cs="Arial"/>
          <w:highlight w:val="yellow"/>
        </w:rPr>
      </w:pPr>
    </w:p>
    <w:p w:rsidR="005C400A" w:rsidRPr="001511A7" w:rsidRDefault="005C400A" w:rsidP="005C400A">
      <w:pPr>
        <w:suppressAutoHyphens/>
        <w:jc w:val="both"/>
        <w:rPr>
          <w:rFonts w:ascii="Calibri" w:hAnsi="Calibri" w:cs="Arial"/>
        </w:rPr>
      </w:pPr>
      <w:r w:rsidRPr="001511A7">
        <w:rPr>
          <w:rFonts w:ascii="Calibri" w:hAnsi="Calibri" w:cs="Arial"/>
        </w:rPr>
        <w:t>El comportamiento del gasto en Personal, explica 47,6</w:t>
      </w:r>
      <w:r w:rsidR="000211ED">
        <w:rPr>
          <w:rFonts w:ascii="Calibri" w:hAnsi="Calibri" w:cs="Arial"/>
        </w:rPr>
        <w:t>%</w:t>
      </w:r>
      <w:r w:rsidRPr="001511A7">
        <w:rPr>
          <w:rFonts w:ascii="Calibri" w:hAnsi="Calibri" w:cs="Arial"/>
        </w:rPr>
        <w:t xml:space="preserve"> de la expansión del gasto total (ver Gráfico 2) y presenta un incremento de 33,9</w:t>
      </w:r>
      <w:r w:rsidR="000211ED">
        <w:rPr>
          <w:rFonts w:ascii="Calibri" w:hAnsi="Calibri" w:cs="Arial"/>
        </w:rPr>
        <w:t>%</w:t>
      </w:r>
      <w:r w:rsidRPr="001511A7">
        <w:rPr>
          <w:rFonts w:ascii="Calibri" w:hAnsi="Calibri" w:cs="Arial"/>
        </w:rPr>
        <w:t xml:space="preserve"> respecto de 2019, resultando en una variación moderada respecto de otras partidas del gasto corriente. Este comportamiento refleja el efecto de la política salarial adoptada en 2020 por el conjunto de las jurisdicciones, que en </w:t>
      </w:r>
      <w:r w:rsidR="0006515E">
        <w:rPr>
          <w:rFonts w:ascii="Calibri" w:hAnsi="Calibri" w:cs="Arial"/>
        </w:rPr>
        <w:t>general</w:t>
      </w:r>
      <w:r w:rsidRPr="001511A7">
        <w:rPr>
          <w:rFonts w:ascii="Calibri" w:hAnsi="Calibri" w:cs="Arial"/>
        </w:rPr>
        <w:t xml:space="preserve"> suspendieron los incrementos previstos a la planta de personal a partir del primer trimestre, en el marco de la retracción económica planteada por la emergencia sanitaria. </w:t>
      </w:r>
      <w:r w:rsidR="001511A7" w:rsidRPr="001511A7">
        <w:rPr>
          <w:rFonts w:ascii="Calibri" w:hAnsi="Calibri" w:cs="Arial"/>
        </w:rPr>
        <w:t>A partir del segundo trimestre las jurisdicciones privilegiaron sostener y compensar al personal afectado a la gestión de la emergencia sanitaria</w:t>
      </w:r>
      <w:r w:rsidR="0006515E">
        <w:rPr>
          <w:rFonts w:ascii="Calibri" w:hAnsi="Calibri" w:cs="Arial"/>
        </w:rPr>
        <w:t xml:space="preserve"> (principalmente en los escalafones de salud y seguridad)</w:t>
      </w:r>
      <w:r w:rsidR="001511A7" w:rsidRPr="001511A7">
        <w:rPr>
          <w:rFonts w:ascii="Calibri" w:hAnsi="Calibri" w:cs="Arial"/>
        </w:rPr>
        <w:t xml:space="preserve">, retomando en el último trimestre la recomposición salarial parcial de los </w:t>
      </w:r>
      <w:r w:rsidR="0006515E">
        <w:rPr>
          <w:rFonts w:ascii="Calibri" w:hAnsi="Calibri" w:cs="Arial"/>
        </w:rPr>
        <w:t xml:space="preserve">demás </w:t>
      </w:r>
      <w:r w:rsidR="001511A7" w:rsidRPr="001511A7">
        <w:rPr>
          <w:rFonts w:ascii="Calibri" w:hAnsi="Calibri" w:cs="Arial"/>
        </w:rPr>
        <w:t>escalafones</w:t>
      </w:r>
      <w:r w:rsidRPr="001511A7">
        <w:rPr>
          <w:rFonts w:ascii="Calibri" w:hAnsi="Calibri" w:cs="Arial"/>
        </w:rPr>
        <w:t>.</w:t>
      </w:r>
    </w:p>
    <w:p w:rsidR="005C400A" w:rsidRPr="00532533" w:rsidRDefault="005C400A" w:rsidP="005C400A">
      <w:pPr>
        <w:suppressAutoHyphens/>
        <w:jc w:val="both"/>
        <w:rPr>
          <w:rFonts w:ascii="Calibri" w:hAnsi="Calibri"/>
          <w:highlight w:val="yellow"/>
        </w:rPr>
      </w:pPr>
    </w:p>
    <w:p w:rsidR="005C400A" w:rsidRPr="001511A7" w:rsidRDefault="005C400A" w:rsidP="005C400A">
      <w:pPr>
        <w:suppressAutoHyphens/>
        <w:jc w:val="both"/>
        <w:rPr>
          <w:rFonts w:ascii="Calibri" w:hAnsi="Calibri"/>
        </w:rPr>
      </w:pPr>
      <w:r w:rsidRPr="001511A7">
        <w:rPr>
          <w:rFonts w:ascii="Calibri" w:hAnsi="Calibri"/>
        </w:rPr>
        <w:t>El gasto en concepto de prestaciones a la Seguridad Social (jubilaciones y pensiones en aquellas provincias que conservan sus cajas previsionales</w:t>
      </w:r>
      <w:r w:rsidRPr="001511A7">
        <w:rPr>
          <w:rFonts w:ascii="Calibri" w:hAnsi="Calibri"/>
          <w:vertAlign w:val="superscript"/>
        </w:rPr>
        <w:footnoteReference w:id="3"/>
      </w:r>
      <w:r w:rsidRPr="001511A7">
        <w:rPr>
          <w:rFonts w:ascii="Calibri" w:hAnsi="Calibri"/>
        </w:rPr>
        <w:t xml:space="preserve">) </w:t>
      </w:r>
      <w:r w:rsidR="001511A7" w:rsidRPr="001511A7">
        <w:rPr>
          <w:rFonts w:ascii="Calibri" w:hAnsi="Calibri"/>
        </w:rPr>
        <w:t>mostró</w:t>
      </w:r>
      <w:r w:rsidRPr="001511A7">
        <w:rPr>
          <w:rFonts w:ascii="Calibri" w:hAnsi="Calibri"/>
        </w:rPr>
        <w:t xml:space="preserve"> un</w:t>
      </w:r>
      <w:r w:rsidR="001511A7" w:rsidRPr="001511A7">
        <w:rPr>
          <w:rFonts w:ascii="Calibri" w:hAnsi="Calibri"/>
        </w:rPr>
        <w:t xml:space="preserve"> comportamiento análogo, incrementándose</w:t>
      </w:r>
      <w:r w:rsidRPr="001511A7">
        <w:rPr>
          <w:rFonts w:ascii="Calibri" w:hAnsi="Calibri"/>
        </w:rPr>
        <w:t xml:space="preserve"> </w:t>
      </w:r>
      <w:r w:rsidR="001511A7" w:rsidRPr="001511A7">
        <w:rPr>
          <w:rFonts w:ascii="Calibri" w:hAnsi="Calibri"/>
        </w:rPr>
        <w:t>35,6</w:t>
      </w:r>
      <w:r w:rsidR="000211ED">
        <w:rPr>
          <w:rFonts w:ascii="Calibri" w:hAnsi="Calibri"/>
        </w:rPr>
        <w:t>%</w:t>
      </w:r>
      <w:r w:rsidRPr="001511A7">
        <w:rPr>
          <w:rFonts w:ascii="Calibri" w:hAnsi="Calibri"/>
        </w:rPr>
        <w:t xml:space="preserve">. Ello se debe a que la política salarial convenida para los agentes activos repercute </w:t>
      </w:r>
      <w:r w:rsidR="001511A7" w:rsidRPr="001511A7">
        <w:rPr>
          <w:rFonts w:ascii="Calibri" w:hAnsi="Calibri"/>
        </w:rPr>
        <w:t xml:space="preserve">parcialmente </w:t>
      </w:r>
      <w:r w:rsidRPr="001511A7">
        <w:rPr>
          <w:rFonts w:ascii="Calibri" w:hAnsi="Calibri"/>
        </w:rPr>
        <w:t xml:space="preserve">en los haberes jubilatorios, a lo cual se </w:t>
      </w:r>
      <w:r w:rsidR="001511A7" w:rsidRPr="001511A7">
        <w:rPr>
          <w:rFonts w:ascii="Calibri" w:hAnsi="Calibri"/>
        </w:rPr>
        <w:t>agrega</w:t>
      </w:r>
      <w:r w:rsidRPr="001511A7">
        <w:rPr>
          <w:rFonts w:ascii="Calibri" w:hAnsi="Calibri"/>
        </w:rPr>
        <w:t xml:space="preserve"> la decisión de algunas jurisdicciones de implementar mejoras </w:t>
      </w:r>
      <w:r w:rsidR="001511A7" w:rsidRPr="001511A7">
        <w:rPr>
          <w:rFonts w:ascii="Calibri" w:hAnsi="Calibri"/>
        </w:rPr>
        <w:t>progresivas en la escala de haberes del</w:t>
      </w:r>
      <w:r w:rsidRPr="001511A7">
        <w:rPr>
          <w:rFonts w:ascii="Calibri" w:hAnsi="Calibri"/>
        </w:rPr>
        <w:t xml:space="preserve"> personal pasivo. </w:t>
      </w:r>
      <w:r w:rsidR="001511A7" w:rsidRPr="001511A7">
        <w:rPr>
          <w:rFonts w:ascii="Calibri" w:hAnsi="Calibri"/>
        </w:rPr>
        <w:t>E</w:t>
      </w:r>
      <w:r w:rsidRPr="001511A7">
        <w:rPr>
          <w:rFonts w:ascii="Calibri" w:hAnsi="Calibri"/>
        </w:rPr>
        <w:t>st</w:t>
      </w:r>
      <w:r w:rsidR="001511A7" w:rsidRPr="001511A7">
        <w:rPr>
          <w:rFonts w:ascii="Calibri" w:hAnsi="Calibri"/>
        </w:rPr>
        <w:t>a</w:t>
      </w:r>
      <w:r w:rsidRPr="001511A7">
        <w:rPr>
          <w:rFonts w:ascii="Calibri" w:hAnsi="Calibri"/>
        </w:rPr>
        <w:t xml:space="preserve"> </w:t>
      </w:r>
      <w:r w:rsidR="001511A7" w:rsidRPr="001511A7">
        <w:rPr>
          <w:rFonts w:ascii="Calibri" w:hAnsi="Calibri"/>
        </w:rPr>
        <w:t>partida</w:t>
      </w:r>
      <w:r w:rsidRPr="001511A7">
        <w:rPr>
          <w:rFonts w:ascii="Calibri" w:hAnsi="Calibri"/>
        </w:rPr>
        <w:t xml:space="preserve"> explica </w:t>
      </w:r>
      <w:r w:rsidR="001511A7" w:rsidRPr="001511A7">
        <w:rPr>
          <w:rFonts w:ascii="Calibri" w:hAnsi="Calibri"/>
        </w:rPr>
        <w:t>14,5</w:t>
      </w:r>
      <w:r w:rsidR="000211ED">
        <w:rPr>
          <w:rFonts w:ascii="Calibri" w:hAnsi="Calibri"/>
        </w:rPr>
        <w:t>%</w:t>
      </w:r>
      <w:r w:rsidRPr="001511A7">
        <w:rPr>
          <w:rFonts w:ascii="Calibri" w:hAnsi="Calibri"/>
        </w:rPr>
        <w:t xml:space="preserve"> de la variación total de las erogaciones (Gráfico 2).</w:t>
      </w:r>
    </w:p>
    <w:p w:rsidR="005C400A" w:rsidRPr="001511A7" w:rsidRDefault="005C400A" w:rsidP="005C400A">
      <w:pPr>
        <w:suppressAutoHyphens/>
        <w:jc w:val="both"/>
        <w:rPr>
          <w:rFonts w:ascii="Calibri" w:hAnsi="Calibri"/>
        </w:rPr>
      </w:pPr>
    </w:p>
    <w:p w:rsidR="005C400A" w:rsidRPr="00FB1F48" w:rsidRDefault="005C400A" w:rsidP="005C400A">
      <w:pPr>
        <w:suppressAutoHyphens/>
        <w:jc w:val="both"/>
        <w:rPr>
          <w:rFonts w:ascii="Calibri" w:hAnsi="Calibri"/>
        </w:rPr>
      </w:pPr>
      <w:r w:rsidRPr="00F803D4">
        <w:rPr>
          <w:rFonts w:ascii="Calibri" w:hAnsi="Calibri"/>
        </w:rPr>
        <w:t xml:space="preserve">Por otra parte, los gastos por Transferencias Corrientes acumularon un incremento de </w:t>
      </w:r>
      <w:r w:rsidR="001511A7" w:rsidRPr="00F803D4">
        <w:rPr>
          <w:rFonts w:ascii="Calibri" w:hAnsi="Calibri"/>
        </w:rPr>
        <w:t>44,3</w:t>
      </w:r>
      <w:r w:rsidR="000211ED">
        <w:rPr>
          <w:rFonts w:ascii="Calibri" w:hAnsi="Calibri"/>
        </w:rPr>
        <w:t>%</w:t>
      </w:r>
      <w:r w:rsidRPr="00F803D4">
        <w:rPr>
          <w:rFonts w:ascii="Calibri" w:hAnsi="Calibri"/>
        </w:rPr>
        <w:t xml:space="preserve">, donde sus dos principales componentes, las transferencias destinadas al Sector Público y al Sector Privado, se expandieron a tasas interanuales de </w:t>
      </w:r>
      <w:r w:rsidR="001511A7" w:rsidRPr="00F803D4">
        <w:rPr>
          <w:rFonts w:ascii="Calibri" w:hAnsi="Calibri"/>
        </w:rPr>
        <w:t>44,7</w:t>
      </w:r>
      <w:r w:rsidR="000211ED">
        <w:rPr>
          <w:rFonts w:ascii="Calibri" w:hAnsi="Calibri"/>
        </w:rPr>
        <w:t>%</w:t>
      </w:r>
      <w:r w:rsidR="001511A7" w:rsidRPr="00F803D4">
        <w:rPr>
          <w:rFonts w:ascii="Calibri" w:hAnsi="Calibri"/>
        </w:rPr>
        <w:t xml:space="preserve"> </w:t>
      </w:r>
      <w:r w:rsidRPr="00F803D4">
        <w:rPr>
          <w:rFonts w:ascii="Calibri" w:hAnsi="Calibri"/>
        </w:rPr>
        <w:t xml:space="preserve">y </w:t>
      </w:r>
      <w:r w:rsidR="001511A7" w:rsidRPr="00F803D4">
        <w:rPr>
          <w:rFonts w:ascii="Calibri" w:hAnsi="Calibri"/>
        </w:rPr>
        <w:t>41,8</w:t>
      </w:r>
      <w:r w:rsidR="000211ED">
        <w:rPr>
          <w:rFonts w:ascii="Calibri" w:hAnsi="Calibri"/>
        </w:rPr>
        <w:t>%</w:t>
      </w:r>
      <w:r w:rsidR="001511A7" w:rsidRPr="00F803D4">
        <w:rPr>
          <w:rFonts w:ascii="Calibri" w:hAnsi="Calibri"/>
        </w:rPr>
        <w:t xml:space="preserve"> </w:t>
      </w:r>
      <w:r w:rsidRPr="00F803D4">
        <w:rPr>
          <w:rFonts w:ascii="Calibri" w:hAnsi="Calibri"/>
        </w:rPr>
        <w:t xml:space="preserve">respectivamente. El </w:t>
      </w:r>
      <w:r w:rsidR="001511A7" w:rsidRPr="00F803D4">
        <w:rPr>
          <w:rFonts w:ascii="Calibri" w:hAnsi="Calibri"/>
        </w:rPr>
        <w:t>comportamiento</w:t>
      </w:r>
      <w:r w:rsidRPr="00F803D4">
        <w:rPr>
          <w:rFonts w:ascii="Calibri" w:hAnsi="Calibri"/>
        </w:rPr>
        <w:t xml:space="preserve"> de las primeras </w:t>
      </w:r>
      <w:r w:rsidR="001511A7" w:rsidRPr="00F803D4">
        <w:rPr>
          <w:rFonts w:ascii="Calibri" w:hAnsi="Calibri"/>
        </w:rPr>
        <w:t>responde normalmente a</w:t>
      </w:r>
      <w:r w:rsidRPr="00F803D4">
        <w:rPr>
          <w:rFonts w:ascii="Calibri" w:hAnsi="Calibri"/>
        </w:rPr>
        <w:t xml:space="preserve">l de las remesas automáticas a los municipios por participación de impuestos, que </w:t>
      </w:r>
      <w:r w:rsidR="001511A7" w:rsidRPr="00F803D4">
        <w:rPr>
          <w:rFonts w:ascii="Calibri" w:hAnsi="Calibri"/>
        </w:rPr>
        <w:t xml:space="preserve">a su vez </w:t>
      </w:r>
      <w:r w:rsidRPr="00F803D4">
        <w:rPr>
          <w:rFonts w:ascii="Calibri" w:hAnsi="Calibri"/>
        </w:rPr>
        <w:t xml:space="preserve">acompaña la dinámica de la recaudación coparticipable y de las regalías, en algunas jurisdicciones. </w:t>
      </w:r>
      <w:r w:rsidR="00F803D4" w:rsidRPr="00F803D4">
        <w:rPr>
          <w:rFonts w:ascii="Calibri" w:hAnsi="Calibri"/>
        </w:rPr>
        <w:t>En este ejercicio, no obstante, éstas crecieron a tasas inferiores, de modo que los mayores incrementos correspondieron a remesas a empresas y organismos que no consolidan en la APNF, y que requirieron de mayor asistencia financiera para solventar sus gastos de funcionamiento. L</w:t>
      </w:r>
      <w:r w:rsidRPr="00F803D4">
        <w:rPr>
          <w:rFonts w:ascii="Calibri" w:hAnsi="Calibri"/>
        </w:rPr>
        <w:t>as transferencias al Sector Privado registran principalmente los subsidios a la enseñanza privada, la ayuda social a personas, las pensiones a la vejez y transferencias a empresas a cooperativas y empresas privadas.</w:t>
      </w:r>
      <w:r w:rsidR="00F666CC">
        <w:rPr>
          <w:rFonts w:ascii="Calibri" w:hAnsi="Calibri"/>
        </w:rPr>
        <w:t xml:space="preserve"> Inciden, adicionalmente,</w:t>
      </w:r>
      <w:r w:rsidR="00F666CC" w:rsidRPr="00773651">
        <w:rPr>
          <w:rFonts w:ascii="Calibri" w:hAnsi="Calibri"/>
        </w:rPr>
        <w:t xml:space="preserve"> las responsabilidades asumidas por las Jurisdicciones en lo referido a la financiación de las tarifas sociales y las compensaciones tarifarias y/o subsidios al transporte público de pasajeros</w:t>
      </w:r>
      <w:r w:rsidR="00F666CC">
        <w:rPr>
          <w:rFonts w:ascii="Calibri" w:hAnsi="Calibri"/>
        </w:rPr>
        <w:t>.</w:t>
      </w:r>
    </w:p>
    <w:p w:rsidR="005C400A" w:rsidRPr="004D1F63" w:rsidRDefault="005C400A" w:rsidP="005C400A">
      <w:pPr>
        <w:suppressAutoHyphens/>
        <w:jc w:val="both"/>
        <w:rPr>
          <w:rFonts w:ascii="Calibri" w:hAnsi="Calibri"/>
          <w:highlight w:val="yellow"/>
        </w:rPr>
      </w:pPr>
    </w:p>
    <w:p w:rsidR="00984BC3" w:rsidRPr="00984BC3" w:rsidRDefault="00984BC3" w:rsidP="00984BC3">
      <w:pPr>
        <w:jc w:val="both"/>
        <w:rPr>
          <w:rFonts w:ascii="Calibri" w:hAnsi="Calibri" w:cs="Calibri"/>
        </w:rPr>
      </w:pPr>
      <w:r w:rsidRPr="00984BC3">
        <w:rPr>
          <w:rFonts w:ascii="Calibri" w:hAnsi="Calibri" w:cs="Calibri"/>
        </w:rPr>
        <w:t>En cuanto a las rentas de la propiedad, se observa una disminución de 20,</w:t>
      </w:r>
      <w:r w:rsidR="0001557D">
        <w:rPr>
          <w:rFonts w:ascii="Calibri" w:hAnsi="Calibri" w:cs="Calibri"/>
        </w:rPr>
        <w:t>2</w:t>
      </w:r>
      <w:r w:rsidR="000211ED">
        <w:rPr>
          <w:rFonts w:ascii="Calibri" w:hAnsi="Calibri" w:cs="Calibri"/>
        </w:rPr>
        <w:t>%</w:t>
      </w:r>
      <w:r w:rsidRPr="00984BC3">
        <w:rPr>
          <w:rFonts w:ascii="Calibri" w:hAnsi="Calibri" w:cs="Calibri"/>
        </w:rPr>
        <w:t xml:space="preserve"> con respecto al mismo periodo del año anterior. De este modo, esta partida pasó a representar</w:t>
      </w:r>
      <w:r w:rsidR="0001557D">
        <w:rPr>
          <w:rFonts w:ascii="Calibri" w:hAnsi="Calibri" w:cs="Calibri"/>
        </w:rPr>
        <w:t xml:space="preserve"> 2,9</w:t>
      </w:r>
      <w:r w:rsidR="000211ED">
        <w:rPr>
          <w:rFonts w:ascii="Calibri" w:hAnsi="Calibri" w:cs="Calibri"/>
        </w:rPr>
        <w:t>%</w:t>
      </w:r>
      <w:r w:rsidRPr="00984BC3">
        <w:rPr>
          <w:rFonts w:ascii="Calibri" w:hAnsi="Calibri" w:cs="Calibri"/>
        </w:rPr>
        <w:t xml:space="preserve"> del total</w:t>
      </w:r>
      <w:r w:rsidR="0001557D">
        <w:rPr>
          <w:rFonts w:ascii="Calibri" w:hAnsi="Calibri" w:cs="Calibri"/>
        </w:rPr>
        <w:t xml:space="preserve"> de erogaciones</w:t>
      </w:r>
      <w:r w:rsidR="0001557D" w:rsidRPr="00984BC3">
        <w:rPr>
          <w:rFonts w:ascii="Calibri" w:hAnsi="Calibri" w:cs="Calibri"/>
        </w:rPr>
        <w:t>, al cuarto trimestre de 2020</w:t>
      </w:r>
      <w:r w:rsidR="0001557D">
        <w:rPr>
          <w:rFonts w:ascii="Calibri" w:hAnsi="Calibri" w:cs="Calibri"/>
        </w:rPr>
        <w:t>.</w:t>
      </w:r>
    </w:p>
    <w:p w:rsidR="00984BC3" w:rsidRPr="00984BC3" w:rsidRDefault="00984BC3" w:rsidP="00984BC3">
      <w:pPr>
        <w:jc w:val="both"/>
        <w:rPr>
          <w:rFonts w:ascii="Calibri" w:hAnsi="Calibri" w:cs="Calibri"/>
        </w:rPr>
      </w:pPr>
    </w:p>
    <w:p w:rsidR="00984BC3" w:rsidRPr="00984BC3" w:rsidRDefault="00984BC3" w:rsidP="00984BC3">
      <w:pPr>
        <w:jc w:val="both"/>
        <w:rPr>
          <w:rFonts w:ascii="Calibri" w:hAnsi="Calibri" w:cs="Calibri"/>
        </w:rPr>
      </w:pPr>
      <w:r w:rsidRPr="00984BC3">
        <w:rPr>
          <w:rFonts w:ascii="Calibri" w:hAnsi="Calibri" w:cs="Calibri"/>
        </w:rPr>
        <w:t>La mayor parte de la disminución está en el rubro de Títulos Internacionales. Durante el año 2020 muchas provincias iniciaron el proceso de renegociación de su deuda con el Mercado de Capitales. Esto motivó que durante este período de renegociación algunas provincias suspendieran sus pagos. De esta manera este ítem tuvo una disminución con respecto al mismo período del año anterior. Posteriormente, una vez logrado el acuerdo, la mayoría de las provincias realizó el pago de los intereses adeudados, una parte en efectivo y la otra mediante el incremento del stock de Títulos a sus tenedores.</w:t>
      </w:r>
    </w:p>
    <w:p w:rsidR="00984BC3" w:rsidRPr="00984BC3" w:rsidRDefault="00984BC3" w:rsidP="00984BC3">
      <w:pPr>
        <w:jc w:val="both"/>
        <w:rPr>
          <w:rFonts w:ascii="Calibri" w:hAnsi="Calibri" w:cs="Calibri"/>
        </w:rPr>
      </w:pPr>
    </w:p>
    <w:p w:rsidR="00984BC3" w:rsidRPr="00984BC3" w:rsidRDefault="00984BC3" w:rsidP="00984BC3">
      <w:pPr>
        <w:jc w:val="both"/>
        <w:rPr>
          <w:rFonts w:ascii="Calibri" w:hAnsi="Calibri" w:cs="Calibri"/>
        </w:rPr>
      </w:pPr>
      <w:r w:rsidRPr="00984BC3">
        <w:rPr>
          <w:rFonts w:ascii="Calibri" w:hAnsi="Calibri" w:cs="Calibri"/>
        </w:rPr>
        <w:t xml:space="preserve">El rubro Gobierno Nacional involucra los pagos al Fondo de Garantía de Sustentabilidad (FGS) de ANSES del préstamo que recibieron las provincias en el marco de la devolución de los 15 puntos de masa coparticipable con destino a obligaciones previsionales nacionales. Este préstamo es el equivalente a 6 puntos porcentuales en el año 2016 y de 3 puntos porcentuales para cada uno de los </w:t>
      </w:r>
      <w:r w:rsidRPr="00984BC3">
        <w:rPr>
          <w:rFonts w:ascii="Calibri" w:hAnsi="Calibri" w:cs="Calibri"/>
        </w:rPr>
        <w:lastRenderedPageBreak/>
        <w:t>períodos 2017, 2018 y 2019, su amortización es bullet a los 48 meses del desembolso. En el segundo semestre de 2019 las Provincias hicieron frente al pago de la cuota semestral de intereses.</w:t>
      </w:r>
    </w:p>
    <w:p w:rsidR="00984BC3" w:rsidRPr="00984BC3" w:rsidRDefault="00984BC3" w:rsidP="00984BC3">
      <w:pPr>
        <w:jc w:val="both"/>
        <w:rPr>
          <w:rFonts w:ascii="Calibri" w:hAnsi="Calibri" w:cs="Calibri"/>
        </w:rPr>
      </w:pPr>
    </w:p>
    <w:p w:rsidR="00984BC3" w:rsidRPr="00984BC3" w:rsidRDefault="00984BC3" w:rsidP="00984BC3">
      <w:pPr>
        <w:jc w:val="both"/>
        <w:rPr>
          <w:rFonts w:ascii="Calibri" w:hAnsi="Calibri" w:cs="Calibri"/>
        </w:rPr>
      </w:pPr>
      <w:r w:rsidRPr="00984BC3">
        <w:rPr>
          <w:rFonts w:ascii="Calibri" w:hAnsi="Calibri" w:cs="Calibri"/>
        </w:rPr>
        <w:t>En agosto 2020 vencía la mayor parte de la amortización del desembolso 2016. Se les dio la posibilidad a las provincias de prorrogarlo hasta el año 2021. Salvo Formosa (que fue la única provincia en cancelar su deuda) el resto aceptó esta propuesta.</w:t>
      </w:r>
    </w:p>
    <w:p w:rsidR="0079112E" w:rsidRPr="001A0D1D" w:rsidRDefault="0079112E" w:rsidP="00012BAB">
      <w:pPr>
        <w:suppressAutoHyphens/>
        <w:jc w:val="both"/>
        <w:rPr>
          <w:rFonts w:ascii="Calibri" w:hAnsi="Calibri" w:cs="Arial"/>
          <w:highlight w:val="yellow"/>
        </w:rPr>
      </w:pPr>
    </w:p>
    <w:p w:rsidR="00B35277" w:rsidRDefault="00D124A6" w:rsidP="0001557D">
      <w:pPr>
        <w:suppressAutoHyphens/>
        <w:spacing w:after="120"/>
        <w:ind w:left="1560" w:right="1559"/>
        <w:jc w:val="center"/>
        <w:rPr>
          <w:rFonts w:ascii="Calibri" w:hAnsi="Calibri" w:cs="Arial"/>
        </w:rPr>
      </w:pPr>
      <w:r w:rsidRPr="001A0D1D">
        <w:rPr>
          <w:rFonts w:ascii="Calibri" w:hAnsi="Calibri" w:cs="Arial"/>
          <w:b/>
        </w:rPr>
        <w:t>Gráfico 2</w:t>
      </w:r>
      <w:r w:rsidRPr="001A0D1D">
        <w:rPr>
          <w:rFonts w:ascii="Calibri" w:hAnsi="Calibri" w:cs="Arial"/>
        </w:rPr>
        <w:t>: Contribución de cada concepto en el incremento interanual del gas</w:t>
      </w:r>
      <w:r w:rsidR="00B35277">
        <w:rPr>
          <w:rFonts w:ascii="Calibri" w:hAnsi="Calibri" w:cs="Arial"/>
        </w:rPr>
        <w:t>to total de la APNF.</w:t>
      </w:r>
    </w:p>
    <w:p w:rsidR="00D124A6" w:rsidRPr="001A0D1D" w:rsidRDefault="00D124A6" w:rsidP="00D124A6">
      <w:pPr>
        <w:suppressAutoHyphens/>
        <w:spacing w:after="120"/>
        <w:jc w:val="center"/>
        <w:rPr>
          <w:rFonts w:ascii="Calibri" w:hAnsi="Calibri" w:cs="Arial"/>
        </w:rPr>
      </w:pPr>
      <w:r w:rsidRPr="001A0D1D">
        <w:rPr>
          <w:rFonts w:ascii="Calibri" w:hAnsi="Calibri" w:cs="Arial"/>
        </w:rPr>
        <w:t>IV Trimestre Acumulado 20</w:t>
      </w:r>
      <w:r w:rsidR="0082736B">
        <w:rPr>
          <w:rFonts w:ascii="Calibri" w:hAnsi="Calibri" w:cs="Arial"/>
        </w:rPr>
        <w:t>20</w:t>
      </w:r>
    </w:p>
    <w:p w:rsidR="00D124A6" w:rsidRPr="00B35277" w:rsidRDefault="009D7CB2" w:rsidP="00D124A6">
      <w:pPr>
        <w:suppressAutoHyphens/>
        <w:spacing w:after="120"/>
        <w:jc w:val="center"/>
        <w:rPr>
          <w:rFonts w:ascii="Calibri" w:hAnsi="Calibri"/>
          <w:sz w:val="20"/>
          <w:szCs w:val="20"/>
        </w:rPr>
      </w:pPr>
      <w:r>
        <w:rPr>
          <w:rFonts w:ascii="Calibri" w:hAnsi="Calibri"/>
          <w:noProof/>
          <w:sz w:val="20"/>
          <w:szCs w:val="20"/>
          <w:lang w:val="es-AR" w:eastAsia="es-AR"/>
        </w:rPr>
        <w:drawing>
          <wp:inline distT="0" distB="0" distL="0" distR="0">
            <wp:extent cx="5760085" cy="3758565"/>
            <wp:effectExtent l="19050" t="19050" r="0"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60085" cy="3758565"/>
                    </a:xfrm>
                    <a:prstGeom prst="rect">
                      <a:avLst/>
                    </a:prstGeom>
                    <a:noFill/>
                    <a:ln w="15875">
                      <a:solidFill>
                        <a:srgbClr val="000000"/>
                      </a:solidFill>
                      <a:miter lim="800000"/>
                      <a:headEnd/>
                      <a:tailEnd/>
                    </a:ln>
                  </pic:spPr>
                </pic:pic>
              </a:graphicData>
            </a:graphic>
          </wp:inline>
        </w:drawing>
      </w:r>
    </w:p>
    <w:p w:rsidR="00D124A6" w:rsidRPr="001A0D1D" w:rsidRDefault="00D124A6" w:rsidP="00555E90">
      <w:pPr>
        <w:suppressAutoHyphens/>
        <w:ind w:left="284"/>
        <w:jc w:val="both"/>
        <w:rPr>
          <w:rFonts w:ascii="Calibri" w:hAnsi="Calibri"/>
          <w:sz w:val="20"/>
          <w:szCs w:val="20"/>
        </w:rPr>
      </w:pPr>
      <w:r w:rsidRPr="001A0D1D">
        <w:rPr>
          <w:rFonts w:ascii="Calibri" w:hAnsi="Calibri"/>
          <w:b/>
          <w:sz w:val="20"/>
          <w:szCs w:val="20"/>
        </w:rPr>
        <w:t>Fuente</w:t>
      </w:r>
      <w:r w:rsidRPr="001A0D1D">
        <w:rPr>
          <w:rFonts w:ascii="Calibri" w:hAnsi="Calibri"/>
          <w:sz w:val="20"/>
          <w:szCs w:val="20"/>
        </w:rPr>
        <w:t xml:space="preserve">: </w:t>
      </w:r>
      <w:r>
        <w:rPr>
          <w:rFonts w:ascii="Calibri" w:hAnsi="Calibri"/>
          <w:sz w:val="20"/>
          <w:szCs w:val="20"/>
        </w:rPr>
        <w:t>Secretaria de Hacienda en base a información provista por las jurisdicciones</w:t>
      </w:r>
    </w:p>
    <w:p w:rsidR="0079112E" w:rsidRPr="004D1F63" w:rsidRDefault="0079112E" w:rsidP="00091876">
      <w:pPr>
        <w:suppressAutoHyphens/>
        <w:jc w:val="both"/>
        <w:rPr>
          <w:rFonts w:ascii="Calibri" w:hAnsi="Calibri" w:cs="Calibri"/>
          <w:highlight w:val="yellow"/>
        </w:rPr>
      </w:pPr>
    </w:p>
    <w:p w:rsidR="00731D73" w:rsidRPr="00FC1FB2" w:rsidRDefault="00264434" w:rsidP="00731D73">
      <w:pPr>
        <w:suppressAutoHyphens/>
        <w:jc w:val="both"/>
        <w:rPr>
          <w:rFonts w:ascii="Calibri" w:hAnsi="Calibri"/>
          <w:b/>
        </w:rPr>
      </w:pPr>
      <w:r w:rsidRPr="00FC1FB2">
        <w:rPr>
          <w:rFonts w:ascii="Calibri" w:hAnsi="Calibri"/>
        </w:rPr>
        <w:t>Los Gastos de Capital observan un crecimiento de</w:t>
      </w:r>
      <w:r w:rsidR="00F803D4" w:rsidRPr="00FC1FB2">
        <w:rPr>
          <w:rFonts w:ascii="Calibri" w:hAnsi="Calibri"/>
        </w:rPr>
        <w:t xml:space="preserve"> sólo</w:t>
      </w:r>
      <w:r w:rsidRPr="00FC1FB2">
        <w:rPr>
          <w:rFonts w:ascii="Calibri" w:hAnsi="Calibri"/>
        </w:rPr>
        <w:t xml:space="preserve"> </w:t>
      </w:r>
      <w:r w:rsidR="00F803D4" w:rsidRPr="00FC1FB2">
        <w:rPr>
          <w:rFonts w:ascii="Calibri" w:hAnsi="Calibri"/>
        </w:rPr>
        <w:t>7,8</w:t>
      </w:r>
      <w:r w:rsidR="000211ED">
        <w:rPr>
          <w:rFonts w:ascii="Calibri" w:hAnsi="Calibri"/>
        </w:rPr>
        <w:t>%</w:t>
      </w:r>
      <w:r w:rsidRPr="00FC1FB2">
        <w:rPr>
          <w:rFonts w:ascii="Calibri" w:hAnsi="Calibri"/>
        </w:rPr>
        <w:t xml:space="preserve">, </w:t>
      </w:r>
      <w:r w:rsidR="00F803D4" w:rsidRPr="00FC1FB2">
        <w:rPr>
          <w:rFonts w:ascii="Calibri" w:hAnsi="Calibri"/>
        </w:rPr>
        <w:t>circunstancia</w:t>
      </w:r>
      <w:r w:rsidR="00C94ADE" w:rsidRPr="00FC1FB2">
        <w:rPr>
          <w:rFonts w:ascii="Calibri" w:hAnsi="Calibri"/>
        </w:rPr>
        <w:t xml:space="preserve"> explicad</w:t>
      </w:r>
      <w:r w:rsidR="00F803D4" w:rsidRPr="00FC1FB2">
        <w:rPr>
          <w:rFonts w:ascii="Calibri" w:hAnsi="Calibri"/>
        </w:rPr>
        <w:t>a</w:t>
      </w:r>
      <w:r w:rsidR="00C94ADE" w:rsidRPr="00FC1FB2">
        <w:rPr>
          <w:rFonts w:ascii="Calibri" w:hAnsi="Calibri"/>
        </w:rPr>
        <w:t xml:space="preserve"> por la </w:t>
      </w:r>
      <w:r w:rsidR="00F803D4" w:rsidRPr="00FC1FB2">
        <w:rPr>
          <w:rFonts w:ascii="Calibri" w:hAnsi="Calibri"/>
        </w:rPr>
        <w:t>caída absoluta</w:t>
      </w:r>
      <w:r w:rsidR="00903F86" w:rsidRPr="00FC1FB2">
        <w:rPr>
          <w:rFonts w:ascii="Calibri" w:hAnsi="Calibri"/>
        </w:rPr>
        <w:t xml:space="preserve"> de</w:t>
      </w:r>
      <w:r w:rsidRPr="00FC1FB2">
        <w:rPr>
          <w:rFonts w:ascii="Calibri" w:hAnsi="Calibri"/>
        </w:rPr>
        <w:t xml:space="preserve"> la Inversión Real Directa</w:t>
      </w:r>
      <w:r w:rsidR="00F803D4" w:rsidRPr="00FC1FB2">
        <w:rPr>
          <w:rFonts w:ascii="Calibri" w:hAnsi="Calibri"/>
        </w:rPr>
        <w:t xml:space="preserve"> (-7,2</w:t>
      </w:r>
      <w:r w:rsidR="000211ED">
        <w:rPr>
          <w:rFonts w:ascii="Calibri" w:hAnsi="Calibri"/>
        </w:rPr>
        <w:t>%</w:t>
      </w:r>
      <w:r w:rsidR="00F803D4" w:rsidRPr="00FC1FB2">
        <w:rPr>
          <w:rFonts w:ascii="Calibri" w:hAnsi="Calibri"/>
        </w:rPr>
        <w:t>)</w:t>
      </w:r>
      <w:r w:rsidR="00C94ADE" w:rsidRPr="00FC1FB2">
        <w:rPr>
          <w:rFonts w:ascii="Calibri" w:hAnsi="Calibri"/>
        </w:rPr>
        <w:t xml:space="preserve">, </w:t>
      </w:r>
      <w:r w:rsidR="00F803D4" w:rsidRPr="00FC1FB2">
        <w:rPr>
          <w:rFonts w:ascii="Calibri" w:hAnsi="Calibri"/>
        </w:rPr>
        <w:t>y que no es compensada por el incremento de las Transferencias de Capital (28,2</w:t>
      </w:r>
      <w:r w:rsidR="000211ED">
        <w:rPr>
          <w:rFonts w:ascii="Calibri" w:hAnsi="Calibri"/>
        </w:rPr>
        <w:t>%</w:t>
      </w:r>
      <w:r w:rsidR="00F803D4" w:rsidRPr="00FC1FB2">
        <w:rPr>
          <w:rFonts w:ascii="Calibri" w:hAnsi="Calibri"/>
        </w:rPr>
        <w:t xml:space="preserve">) y de </w:t>
      </w:r>
      <w:r w:rsidRPr="00FC1FB2">
        <w:rPr>
          <w:rFonts w:ascii="Calibri" w:hAnsi="Calibri"/>
        </w:rPr>
        <w:t>la Inversión Financiera</w:t>
      </w:r>
      <w:r w:rsidR="000D400B" w:rsidRPr="00FC1FB2">
        <w:rPr>
          <w:rFonts w:ascii="Calibri" w:hAnsi="Calibri"/>
        </w:rPr>
        <w:t xml:space="preserve"> </w:t>
      </w:r>
      <w:r w:rsidR="00F803D4" w:rsidRPr="00FC1FB2">
        <w:rPr>
          <w:rFonts w:ascii="Calibri" w:hAnsi="Calibri"/>
        </w:rPr>
        <w:t>(74,6</w:t>
      </w:r>
      <w:r w:rsidR="000211ED">
        <w:rPr>
          <w:rFonts w:ascii="Calibri" w:hAnsi="Calibri"/>
        </w:rPr>
        <w:t>%</w:t>
      </w:r>
      <w:r w:rsidR="00F803D4" w:rsidRPr="00FC1FB2">
        <w:rPr>
          <w:rFonts w:ascii="Calibri" w:hAnsi="Calibri"/>
        </w:rPr>
        <w:t>)</w:t>
      </w:r>
      <w:r w:rsidRPr="00FC1FB2">
        <w:rPr>
          <w:rFonts w:ascii="Calibri" w:hAnsi="Calibri"/>
        </w:rPr>
        <w:t xml:space="preserve">. </w:t>
      </w:r>
      <w:r w:rsidR="005C3F51" w:rsidRPr="00FC1FB2">
        <w:rPr>
          <w:rFonts w:ascii="Calibri" w:hAnsi="Calibri"/>
        </w:rPr>
        <w:t>La Inversión Real Directa comprende principalmente</w:t>
      </w:r>
      <w:r w:rsidRPr="00FC1FB2">
        <w:rPr>
          <w:rFonts w:ascii="Calibri" w:hAnsi="Calibri"/>
        </w:rPr>
        <w:t xml:space="preserve"> a</w:t>
      </w:r>
      <w:r w:rsidR="005C3F51" w:rsidRPr="00FC1FB2">
        <w:rPr>
          <w:rFonts w:ascii="Calibri" w:hAnsi="Calibri"/>
        </w:rPr>
        <w:t>l gasto en</w:t>
      </w:r>
      <w:r w:rsidRPr="00FC1FB2">
        <w:rPr>
          <w:rFonts w:ascii="Calibri" w:hAnsi="Calibri"/>
        </w:rPr>
        <w:t xml:space="preserve"> obra pública</w:t>
      </w:r>
      <w:r w:rsidR="005C3F51" w:rsidRPr="00FC1FB2">
        <w:rPr>
          <w:rFonts w:ascii="Calibri" w:hAnsi="Calibri"/>
        </w:rPr>
        <w:t>,</w:t>
      </w:r>
      <w:r w:rsidR="00903F86" w:rsidRPr="00FC1FB2">
        <w:rPr>
          <w:rFonts w:ascii="Calibri" w:hAnsi="Calibri"/>
        </w:rPr>
        <w:t xml:space="preserve"> </w:t>
      </w:r>
      <w:r w:rsidR="000D400B" w:rsidRPr="00FC1FB2">
        <w:rPr>
          <w:rFonts w:ascii="Calibri" w:hAnsi="Calibri"/>
        </w:rPr>
        <w:t xml:space="preserve">condicionada </w:t>
      </w:r>
      <w:r w:rsidR="00BA4A06" w:rsidRPr="00FC1FB2">
        <w:rPr>
          <w:rFonts w:ascii="Calibri" w:hAnsi="Calibri"/>
        </w:rPr>
        <w:t xml:space="preserve">tanto </w:t>
      </w:r>
      <w:r w:rsidR="00903F86" w:rsidRPr="00FC1FB2">
        <w:rPr>
          <w:rFonts w:ascii="Calibri" w:hAnsi="Calibri"/>
        </w:rPr>
        <w:t xml:space="preserve">a la </w:t>
      </w:r>
      <w:r w:rsidR="000D400B" w:rsidRPr="00FC1FB2">
        <w:rPr>
          <w:rFonts w:ascii="Calibri" w:hAnsi="Calibri"/>
        </w:rPr>
        <w:t>disponibilidad</w:t>
      </w:r>
      <w:r w:rsidR="00903F86" w:rsidRPr="00FC1FB2">
        <w:rPr>
          <w:rFonts w:ascii="Calibri" w:hAnsi="Calibri"/>
        </w:rPr>
        <w:t xml:space="preserve"> de </w:t>
      </w:r>
      <w:r w:rsidRPr="00FC1FB2">
        <w:rPr>
          <w:rFonts w:ascii="Calibri" w:hAnsi="Calibri"/>
        </w:rPr>
        <w:t>financi</w:t>
      </w:r>
      <w:r w:rsidR="00903F86" w:rsidRPr="00FC1FB2">
        <w:rPr>
          <w:rFonts w:ascii="Calibri" w:hAnsi="Calibri"/>
        </w:rPr>
        <w:t>amiento</w:t>
      </w:r>
      <w:r w:rsidRPr="00FC1FB2">
        <w:rPr>
          <w:rFonts w:ascii="Calibri" w:hAnsi="Calibri"/>
        </w:rPr>
        <w:t xml:space="preserve"> </w:t>
      </w:r>
      <w:r w:rsidR="00903F86" w:rsidRPr="00FC1FB2">
        <w:rPr>
          <w:rFonts w:ascii="Calibri" w:hAnsi="Calibri"/>
        </w:rPr>
        <w:t xml:space="preserve">de los Tesoros Provinciales, como a la posibilidad del endeudamiento </w:t>
      </w:r>
      <w:r w:rsidR="000D400B" w:rsidRPr="00FC1FB2">
        <w:rPr>
          <w:rFonts w:ascii="Calibri" w:hAnsi="Calibri"/>
        </w:rPr>
        <w:t>co</w:t>
      </w:r>
      <w:r w:rsidR="00903F86" w:rsidRPr="00FC1FB2">
        <w:rPr>
          <w:rFonts w:ascii="Calibri" w:hAnsi="Calibri"/>
        </w:rPr>
        <w:t>n tal destino y</w:t>
      </w:r>
      <w:r w:rsidR="008542CB" w:rsidRPr="00FC1FB2">
        <w:rPr>
          <w:rFonts w:ascii="Calibri" w:hAnsi="Calibri"/>
        </w:rPr>
        <w:t xml:space="preserve"> </w:t>
      </w:r>
      <w:r w:rsidR="00903F86" w:rsidRPr="00FC1FB2">
        <w:rPr>
          <w:rFonts w:ascii="Calibri" w:hAnsi="Calibri"/>
        </w:rPr>
        <w:t>a</w:t>
      </w:r>
      <w:r w:rsidRPr="00FC1FB2">
        <w:rPr>
          <w:rFonts w:ascii="Calibri" w:hAnsi="Calibri"/>
        </w:rPr>
        <w:t xml:space="preserve"> las </w:t>
      </w:r>
      <w:r w:rsidR="00BB300B" w:rsidRPr="00FC1FB2">
        <w:rPr>
          <w:rFonts w:ascii="Calibri" w:hAnsi="Calibri"/>
        </w:rPr>
        <w:t>T</w:t>
      </w:r>
      <w:r w:rsidRPr="00FC1FB2">
        <w:rPr>
          <w:rFonts w:ascii="Calibri" w:hAnsi="Calibri"/>
        </w:rPr>
        <w:t xml:space="preserve">ransferencias de </w:t>
      </w:r>
      <w:r w:rsidR="00BB300B" w:rsidRPr="00FC1FB2">
        <w:rPr>
          <w:rFonts w:ascii="Calibri" w:hAnsi="Calibri"/>
        </w:rPr>
        <w:t>C</w:t>
      </w:r>
      <w:r w:rsidRPr="00FC1FB2">
        <w:rPr>
          <w:rFonts w:ascii="Calibri" w:hAnsi="Calibri"/>
        </w:rPr>
        <w:t>apital del Gobierno Nacional</w:t>
      </w:r>
      <w:r w:rsidR="00903F86" w:rsidRPr="00FC1FB2">
        <w:rPr>
          <w:rFonts w:ascii="Calibri" w:hAnsi="Calibri"/>
        </w:rPr>
        <w:t>.</w:t>
      </w:r>
      <w:r w:rsidR="00FC1FB2" w:rsidRPr="00FC1FB2">
        <w:rPr>
          <w:rStyle w:val="Refdenotaalpie"/>
          <w:rFonts w:ascii="Calibri" w:hAnsi="Calibri"/>
        </w:rPr>
        <w:footnoteReference w:id="4"/>
      </w:r>
      <w:r w:rsidR="00903F86" w:rsidRPr="00FC1FB2">
        <w:rPr>
          <w:rFonts w:ascii="Calibri" w:hAnsi="Calibri"/>
        </w:rPr>
        <w:t xml:space="preserve"> </w:t>
      </w:r>
      <w:r w:rsidR="005C3F51" w:rsidRPr="00FC1FB2">
        <w:rPr>
          <w:rFonts w:ascii="Calibri" w:hAnsi="Calibri"/>
        </w:rPr>
        <w:t>La Inversión Financiera computa</w:t>
      </w:r>
      <w:r w:rsidR="00985D4E" w:rsidRPr="00FC1FB2">
        <w:rPr>
          <w:rFonts w:ascii="Calibri" w:hAnsi="Calibri"/>
        </w:rPr>
        <w:t xml:space="preserve"> </w:t>
      </w:r>
      <w:r w:rsidRPr="00FC1FB2">
        <w:rPr>
          <w:rFonts w:ascii="Calibri" w:hAnsi="Calibri"/>
        </w:rPr>
        <w:lastRenderedPageBreak/>
        <w:t>mayormente préstamos a municipios, y a</w:t>
      </w:r>
      <w:r w:rsidR="00985D4E" w:rsidRPr="00FC1FB2">
        <w:rPr>
          <w:rFonts w:ascii="Calibri" w:hAnsi="Calibri"/>
        </w:rPr>
        <w:t>portes de capital a</w:t>
      </w:r>
      <w:r w:rsidRPr="00FC1FB2">
        <w:rPr>
          <w:rFonts w:ascii="Calibri" w:hAnsi="Calibri"/>
        </w:rPr>
        <w:t xml:space="preserve"> empresas p</w:t>
      </w:r>
      <w:r w:rsidR="00985D4E" w:rsidRPr="00FC1FB2">
        <w:rPr>
          <w:rFonts w:ascii="Calibri" w:hAnsi="Calibri"/>
        </w:rPr>
        <w:t>rovinciales</w:t>
      </w:r>
      <w:r w:rsidRPr="00FC1FB2">
        <w:rPr>
          <w:rFonts w:ascii="Calibri" w:hAnsi="Calibri"/>
        </w:rPr>
        <w:t>.</w:t>
      </w:r>
      <w:r w:rsidR="00C607A4" w:rsidRPr="00FC1FB2">
        <w:rPr>
          <w:rFonts w:ascii="Calibri" w:hAnsi="Calibri"/>
        </w:rPr>
        <w:t xml:space="preserve"> </w:t>
      </w:r>
      <w:r w:rsidR="00C94ADE" w:rsidRPr="00FC1FB2">
        <w:rPr>
          <w:rFonts w:ascii="Calibri" w:hAnsi="Calibri"/>
        </w:rPr>
        <w:t>L</w:t>
      </w:r>
      <w:r w:rsidR="00903F86" w:rsidRPr="00FC1FB2">
        <w:rPr>
          <w:rFonts w:ascii="Calibri" w:hAnsi="Calibri"/>
        </w:rPr>
        <w:t>as</w:t>
      </w:r>
      <w:r w:rsidR="000D400B" w:rsidRPr="00FC1FB2">
        <w:rPr>
          <w:rFonts w:ascii="Calibri" w:hAnsi="Calibri"/>
        </w:rPr>
        <w:t xml:space="preserve"> </w:t>
      </w:r>
      <w:r w:rsidR="00903F86" w:rsidRPr="00FC1FB2">
        <w:rPr>
          <w:rFonts w:ascii="Calibri" w:hAnsi="Calibri"/>
        </w:rPr>
        <w:t>Transferencias de Capital</w:t>
      </w:r>
      <w:r w:rsidR="00C94ADE" w:rsidRPr="00FC1FB2">
        <w:rPr>
          <w:rFonts w:ascii="Calibri" w:hAnsi="Calibri"/>
        </w:rPr>
        <w:t xml:space="preserve"> </w:t>
      </w:r>
      <w:r w:rsidR="00FC1FB2" w:rsidRPr="00FC1FB2">
        <w:rPr>
          <w:rFonts w:ascii="Calibri" w:hAnsi="Calibri"/>
        </w:rPr>
        <w:t>se ajustan a</w:t>
      </w:r>
      <w:r w:rsidR="00C94ADE" w:rsidRPr="00FC1FB2">
        <w:rPr>
          <w:rFonts w:ascii="Calibri" w:hAnsi="Calibri"/>
        </w:rPr>
        <w:t xml:space="preserve"> la disponibilidad de recursos para extender</w:t>
      </w:r>
      <w:r w:rsidR="000D400B" w:rsidRPr="00FC1FB2">
        <w:rPr>
          <w:rFonts w:ascii="Calibri" w:hAnsi="Calibri"/>
        </w:rPr>
        <w:t xml:space="preserve"> </w:t>
      </w:r>
      <w:r w:rsidR="00702BE9" w:rsidRPr="00FC1FB2">
        <w:rPr>
          <w:rFonts w:ascii="Calibri" w:hAnsi="Calibri"/>
        </w:rPr>
        <w:t xml:space="preserve">este tipo de </w:t>
      </w:r>
      <w:r w:rsidR="009162CF" w:rsidRPr="00FC1FB2">
        <w:rPr>
          <w:rFonts w:ascii="Calibri" w:hAnsi="Calibri"/>
        </w:rPr>
        <w:t>subsidios</w:t>
      </w:r>
      <w:r w:rsidR="000D400B" w:rsidRPr="00FC1FB2">
        <w:rPr>
          <w:rFonts w:ascii="Calibri" w:hAnsi="Calibri"/>
        </w:rPr>
        <w:t xml:space="preserve"> a Municipios y </w:t>
      </w:r>
      <w:r w:rsidR="009162CF" w:rsidRPr="00FC1FB2">
        <w:rPr>
          <w:rFonts w:ascii="Calibri" w:hAnsi="Calibri"/>
        </w:rPr>
        <w:t>al sector privado</w:t>
      </w:r>
      <w:r w:rsidR="00903F86" w:rsidRPr="00FC1FB2">
        <w:rPr>
          <w:rFonts w:ascii="Calibri" w:hAnsi="Calibri"/>
        </w:rPr>
        <w:t>.</w:t>
      </w:r>
    </w:p>
    <w:p w:rsidR="00264434" w:rsidRPr="00532533" w:rsidRDefault="00264434" w:rsidP="00264434">
      <w:pPr>
        <w:suppressAutoHyphens/>
        <w:jc w:val="both"/>
        <w:rPr>
          <w:rFonts w:ascii="Calibri" w:hAnsi="Calibri"/>
          <w:highlight w:val="yellow"/>
        </w:rPr>
      </w:pPr>
    </w:p>
    <w:p w:rsidR="00870DEA" w:rsidRPr="001A0D1D" w:rsidRDefault="00264434" w:rsidP="00264434">
      <w:pPr>
        <w:suppressAutoHyphens/>
        <w:jc w:val="both"/>
        <w:rPr>
          <w:rFonts w:ascii="Calibri" w:hAnsi="Calibri"/>
        </w:rPr>
      </w:pPr>
      <w:r w:rsidRPr="00FC1FB2">
        <w:rPr>
          <w:rFonts w:ascii="Calibri" w:hAnsi="Calibri"/>
        </w:rPr>
        <w:t>El Gráfico 3 muestra la estructura del gasto, pudiéndose observar la relevancia de los egresos en Personal (</w:t>
      </w:r>
      <w:r w:rsidR="00FC1FB2" w:rsidRPr="00FC1FB2">
        <w:rPr>
          <w:rFonts w:ascii="Calibri" w:hAnsi="Calibri"/>
        </w:rPr>
        <w:t>44,8</w:t>
      </w:r>
      <w:r w:rsidR="000211ED">
        <w:rPr>
          <w:rFonts w:ascii="Calibri" w:hAnsi="Calibri"/>
        </w:rPr>
        <w:t>%</w:t>
      </w:r>
      <w:r w:rsidRPr="00FC1FB2">
        <w:rPr>
          <w:rFonts w:ascii="Calibri" w:hAnsi="Calibri"/>
        </w:rPr>
        <w:t>), que sumados a las Prestaciones a la Seguridad Social (</w:t>
      </w:r>
      <w:r w:rsidR="00FC1FB2" w:rsidRPr="00FC1FB2">
        <w:rPr>
          <w:rFonts w:ascii="Calibri" w:hAnsi="Calibri"/>
        </w:rPr>
        <w:t>13,2</w:t>
      </w:r>
      <w:r w:rsidR="000211ED">
        <w:rPr>
          <w:rFonts w:ascii="Calibri" w:hAnsi="Calibri"/>
        </w:rPr>
        <w:t>%</w:t>
      </w:r>
      <w:r w:rsidR="005704AA" w:rsidRPr="00FC1FB2">
        <w:rPr>
          <w:rFonts w:ascii="Calibri" w:hAnsi="Calibri"/>
        </w:rPr>
        <w:t>) muestran que</w:t>
      </w:r>
      <w:r w:rsidR="00654C2B">
        <w:rPr>
          <w:rFonts w:ascii="Calibri" w:hAnsi="Calibri"/>
        </w:rPr>
        <w:t>,</w:t>
      </w:r>
      <w:r w:rsidR="005704AA" w:rsidRPr="00FC1FB2">
        <w:rPr>
          <w:rFonts w:ascii="Calibri" w:hAnsi="Calibri"/>
        </w:rPr>
        <w:t xml:space="preserve"> en 20</w:t>
      </w:r>
      <w:r w:rsidR="00F411BE">
        <w:rPr>
          <w:rFonts w:ascii="Calibri" w:hAnsi="Calibri"/>
        </w:rPr>
        <w:t>20</w:t>
      </w:r>
      <w:r w:rsidR="00654C2B">
        <w:rPr>
          <w:rFonts w:ascii="Calibri" w:hAnsi="Calibri"/>
        </w:rPr>
        <w:t>,</w:t>
      </w:r>
      <w:r w:rsidRPr="00FC1FB2">
        <w:rPr>
          <w:rFonts w:ascii="Calibri" w:hAnsi="Calibri"/>
        </w:rPr>
        <w:t xml:space="preserve"> </w:t>
      </w:r>
      <w:r w:rsidR="00FC1FB2" w:rsidRPr="00FC1FB2">
        <w:rPr>
          <w:rFonts w:ascii="Calibri" w:hAnsi="Calibri"/>
        </w:rPr>
        <w:t>57,0</w:t>
      </w:r>
      <w:r w:rsidR="000211ED">
        <w:rPr>
          <w:rFonts w:ascii="Calibri" w:hAnsi="Calibri"/>
        </w:rPr>
        <w:t>%</w:t>
      </w:r>
      <w:r w:rsidRPr="00FC1FB2">
        <w:rPr>
          <w:rFonts w:ascii="Calibri" w:hAnsi="Calibri"/>
        </w:rPr>
        <w:t xml:space="preserve"> de los egresos del consolidado de las 24 jurisdicciones se aplicó al pago de las remuneraciones del personal activo y pasivo de las administraciones provinciales, incluyendo pensionados y demás beneficiarios de regíme</w:t>
      </w:r>
      <w:r w:rsidR="00012BAB" w:rsidRPr="00FC1FB2">
        <w:rPr>
          <w:rFonts w:ascii="Calibri" w:hAnsi="Calibri"/>
        </w:rPr>
        <w:t>nes previsionales provinciales.</w:t>
      </w:r>
    </w:p>
    <w:p w:rsidR="00870DEA" w:rsidRPr="001A0D1D" w:rsidRDefault="00870DEA" w:rsidP="00264434">
      <w:pPr>
        <w:suppressAutoHyphens/>
        <w:jc w:val="both"/>
        <w:rPr>
          <w:rFonts w:ascii="Calibri" w:hAnsi="Calibri"/>
        </w:rPr>
      </w:pPr>
    </w:p>
    <w:p w:rsidR="001F5144" w:rsidRPr="001A0D1D" w:rsidRDefault="001F5144" w:rsidP="001F5144">
      <w:pPr>
        <w:suppressAutoHyphens/>
        <w:jc w:val="center"/>
        <w:rPr>
          <w:rFonts w:ascii="Calibri" w:hAnsi="Calibri" w:cs="Arial"/>
        </w:rPr>
      </w:pPr>
      <w:r w:rsidRPr="001A0D1D">
        <w:rPr>
          <w:rFonts w:ascii="Calibri" w:hAnsi="Calibri" w:cs="Arial"/>
          <w:b/>
        </w:rPr>
        <w:t>Gráfico 3.</w:t>
      </w:r>
      <w:r w:rsidRPr="001A0D1D">
        <w:rPr>
          <w:rFonts w:ascii="Calibri" w:hAnsi="Calibri" w:cs="Arial"/>
        </w:rPr>
        <w:t xml:space="preserve"> Estructura porcentual del</w:t>
      </w:r>
      <w:r w:rsidR="00D124A6" w:rsidRPr="001A0D1D">
        <w:rPr>
          <w:rFonts w:ascii="Calibri" w:hAnsi="Calibri" w:cs="Arial"/>
        </w:rPr>
        <w:t xml:space="preserve"> gasto</w:t>
      </w:r>
    </w:p>
    <w:p w:rsidR="001F5144" w:rsidRPr="001A0D1D" w:rsidRDefault="001F5144" w:rsidP="001F5144">
      <w:pPr>
        <w:suppressAutoHyphens/>
        <w:spacing w:after="120"/>
        <w:jc w:val="center"/>
        <w:rPr>
          <w:rFonts w:ascii="Calibri" w:hAnsi="Calibri" w:cs="Arial"/>
        </w:rPr>
      </w:pPr>
      <w:r w:rsidRPr="001A0D1D">
        <w:rPr>
          <w:rFonts w:ascii="Calibri" w:hAnsi="Calibri" w:cs="Arial"/>
        </w:rPr>
        <w:t>IV Trimestre Acumulado 20</w:t>
      </w:r>
      <w:r w:rsidR="0082736B">
        <w:rPr>
          <w:rFonts w:ascii="Calibri" w:hAnsi="Calibri" w:cs="Arial"/>
        </w:rPr>
        <w:t>20</w:t>
      </w:r>
    </w:p>
    <w:p w:rsidR="001F5144" w:rsidRPr="00B35277" w:rsidRDefault="009D7CB2" w:rsidP="001F5144">
      <w:pPr>
        <w:suppressAutoHyphens/>
        <w:jc w:val="center"/>
        <w:rPr>
          <w:rFonts w:ascii="Calibri" w:hAnsi="Calibri"/>
          <w:sz w:val="20"/>
          <w:szCs w:val="20"/>
        </w:rPr>
      </w:pPr>
      <w:r>
        <w:rPr>
          <w:rFonts w:ascii="Calibri" w:hAnsi="Calibri"/>
          <w:noProof/>
          <w:sz w:val="20"/>
          <w:szCs w:val="20"/>
          <w:lang w:val="es-AR" w:eastAsia="es-AR"/>
        </w:rPr>
        <w:drawing>
          <wp:inline distT="0" distB="0" distL="0" distR="0">
            <wp:extent cx="5493385" cy="3359150"/>
            <wp:effectExtent l="19050" t="19050" r="0" b="0"/>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93385" cy="3359150"/>
                    </a:xfrm>
                    <a:prstGeom prst="rect">
                      <a:avLst/>
                    </a:prstGeom>
                    <a:noFill/>
                    <a:ln w="15875">
                      <a:solidFill>
                        <a:srgbClr val="000000"/>
                      </a:solidFill>
                      <a:miter lim="800000"/>
                      <a:headEnd/>
                      <a:tailEnd/>
                    </a:ln>
                  </pic:spPr>
                </pic:pic>
              </a:graphicData>
            </a:graphic>
          </wp:inline>
        </w:drawing>
      </w:r>
    </w:p>
    <w:p w:rsidR="001F5144" w:rsidRPr="007A06DC" w:rsidRDefault="001F5144" w:rsidP="00555E90">
      <w:pPr>
        <w:suppressAutoHyphens/>
        <w:ind w:left="567"/>
        <w:jc w:val="both"/>
        <w:rPr>
          <w:rFonts w:ascii="Calibri" w:hAnsi="Calibri"/>
          <w:sz w:val="20"/>
          <w:szCs w:val="20"/>
        </w:rPr>
      </w:pPr>
      <w:r w:rsidRPr="000B742E">
        <w:rPr>
          <w:rFonts w:ascii="Calibri" w:hAnsi="Calibri"/>
          <w:b/>
          <w:sz w:val="20"/>
          <w:szCs w:val="20"/>
        </w:rPr>
        <w:t>Fuente</w:t>
      </w:r>
      <w:r w:rsidRPr="007A06DC">
        <w:rPr>
          <w:rFonts w:ascii="Calibri" w:hAnsi="Calibri"/>
          <w:sz w:val="20"/>
          <w:szCs w:val="20"/>
        </w:rPr>
        <w:t xml:space="preserve">: </w:t>
      </w:r>
      <w:r>
        <w:rPr>
          <w:rFonts w:ascii="Calibri" w:hAnsi="Calibri"/>
          <w:sz w:val="20"/>
          <w:szCs w:val="20"/>
        </w:rPr>
        <w:t>Secretaria de Hacienda en base a información provista por las jurisdicciones</w:t>
      </w:r>
    </w:p>
    <w:p w:rsidR="005611C8" w:rsidRPr="001A0D1D" w:rsidRDefault="005611C8" w:rsidP="00A564ED">
      <w:pPr>
        <w:suppressAutoHyphens/>
        <w:jc w:val="both"/>
        <w:rPr>
          <w:rFonts w:ascii="Calibri" w:hAnsi="Calibri"/>
          <w:highlight w:val="yellow"/>
        </w:rPr>
      </w:pPr>
    </w:p>
    <w:p w:rsidR="00870DEA" w:rsidRPr="001A0D1D" w:rsidRDefault="00870DEA" w:rsidP="00870DEA">
      <w:pPr>
        <w:suppressAutoHyphens/>
        <w:jc w:val="both"/>
        <w:rPr>
          <w:rFonts w:ascii="Calibri" w:hAnsi="Calibri"/>
        </w:rPr>
      </w:pPr>
      <w:r w:rsidRPr="00FC1FB2">
        <w:rPr>
          <w:rFonts w:ascii="Calibri" w:hAnsi="Calibri"/>
        </w:rPr>
        <w:t xml:space="preserve">Las Transferencias Corrientes absorbieron otro </w:t>
      </w:r>
      <w:r w:rsidR="00FC1FB2" w:rsidRPr="00FC1FB2">
        <w:rPr>
          <w:rFonts w:ascii="Calibri" w:hAnsi="Calibri"/>
        </w:rPr>
        <w:t>21,7</w:t>
      </w:r>
      <w:r w:rsidR="000211ED">
        <w:rPr>
          <w:rFonts w:ascii="Calibri" w:hAnsi="Calibri"/>
        </w:rPr>
        <w:t>%</w:t>
      </w:r>
      <w:r w:rsidRPr="00FC1FB2">
        <w:rPr>
          <w:rFonts w:ascii="Calibri" w:hAnsi="Calibri"/>
        </w:rPr>
        <w:t xml:space="preserve"> del gasto en el mismo período. </w:t>
      </w:r>
      <w:r w:rsidR="00F666CC">
        <w:rPr>
          <w:rFonts w:ascii="Calibri" w:hAnsi="Calibri"/>
        </w:rPr>
        <w:t>O</w:t>
      </w:r>
      <w:r w:rsidR="00F666CC" w:rsidRPr="00FC1FB2">
        <w:rPr>
          <w:rFonts w:ascii="Calibri" w:hAnsi="Calibri"/>
        </w:rPr>
        <w:t xml:space="preserve">bservan </w:t>
      </w:r>
      <w:r w:rsidR="00F666CC">
        <w:rPr>
          <w:rFonts w:ascii="Calibri" w:hAnsi="Calibri"/>
        </w:rPr>
        <w:t>m</w:t>
      </w:r>
      <w:r w:rsidRPr="00FC1FB2">
        <w:rPr>
          <w:rFonts w:ascii="Calibri" w:hAnsi="Calibri"/>
        </w:rPr>
        <w:t>enor incidencia la Inversión Real Directa (</w:t>
      </w:r>
      <w:r w:rsidR="00FC1FB2" w:rsidRPr="00FC1FB2">
        <w:rPr>
          <w:rFonts w:ascii="Calibri" w:hAnsi="Calibri"/>
        </w:rPr>
        <w:t>5,2</w:t>
      </w:r>
      <w:r w:rsidR="000211ED">
        <w:rPr>
          <w:rFonts w:ascii="Calibri" w:hAnsi="Calibri"/>
        </w:rPr>
        <w:t>%</w:t>
      </w:r>
      <w:r w:rsidRPr="00FC1FB2">
        <w:rPr>
          <w:rFonts w:ascii="Calibri" w:hAnsi="Calibri"/>
        </w:rPr>
        <w:t>)</w:t>
      </w:r>
      <w:r w:rsidR="00FC1FB2" w:rsidRPr="00FC1FB2">
        <w:rPr>
          <w:rFonts w:ascii="Calibri" w:hAnsi="Calibri"/>
        </w:rPr>
        <w:t xml:space="preserve">, fruto de su </w:t>
      </w:r>
      <w:r w:rsidR="00F666CC">
        <w:rPr>
          <w:rFonts w:ascii="Calibri" w:hAnsi="Calibri"/>
        </w:rPr>
        <w:t>significativa</w:t>
      </w:r>
      <w:r w:rsidR="00FC1FB2" w:rsidRPr="00FC1FB2">
        <w:rPr>
          <w:rFonts w:ascii="Calibri" w:hAnsi="Calibri"/>
        </w:rPr>
        <w:t xml:space="preserve"> retracción al término del ejercicio,</w:t>
      </w:r>
      <w:r w:rsidRPr="00FC1FB2">
        <w:rPr>
          <w:rFonts w:ascii="Calibri" w:hAnsi="Calibri"/>
        </w:rPr>
        <w:t xml:space="preserve"> y el gasto en Bienes de </w:t>
      </w:r>
      <w:r w:rsidR="00702BE9" w:rsidRPr="00FC1FB2">
        <w:rPr>
          <w:rFonts w:ascii="Calibri" w:hAnsi="Calibri"/>
        </w:rPr>
        <w:t>C</w:t>
      </w:r>
      <w:r w:rsidRPr="00FC1FB2">
        <w:rPr>
          <w:rFonts w:ascii="Calibri" w:hAnsi="Calibri"/>
        </w:rPr>
        <w:t>onsumo y Servicios (8,</w:t>
      </w:r>
      <w:r w:rsidR="00FC1FB2" w:rsidRPr="00FC1FB2">
        <w:rPr>
          <w:rFonts w:ascii="Calibri" w:hAnsi="Calibri"/>
        </w:rPr>
        <w:t>8</w:t>
      </w:r>
      <w:r w:rsidR="000211ED">
        <w:rPr>
          <w:rFonts w:ascii="Calibri" w:hAnsi="Calibri"/>
        </w:rPr>
        <w:t>%</w:t>
      </w:r>
      <w:r w:rsidRPr="00FC1FB2">
        <w:rPr>
          <w:rFonts w:ascii="Calibri" w:hAnsi="Calibri"/>
        </w:rPr>
        <w:t xml:space="preserve"> en conjunto), distribuyéndose </w:t>
      </w:r>
      <w:r w:rsidR="00F666CC">
        <w:rPr>
          <w:rFonts w:ascii="Calibri" w:hAnsi="Calibri"/>
        </w:rPr>
        <w:t xml:space="preserve">el saldo de </w:t>
      </w:r>
      <w:r w:rsidR="00FC1FB2" w:rsidRPr="00FC1FB2">
        <w:rPr>
          <w:rFonts w:ascii="Calibri" w:hAnsi="Calibri"/>
        </w:rPr>
        <w:t>6,3</w:t>
      </w:r>
      <w:r w:rsidR="000211ED">
        <w:rPr>
          <w:rFonts w:ascii="Calibri" w:hAnsi="Calibri"/>
        </w:rPr>
        <w:t>%</w:t>
      </w:r>
      <w:r w:rsidRPr="00FC1FB2">
        <w:rPr>
          <w:rFonts w:ascii="Calibri" w:hAnsi="Calibri"/>
        </w:rPr>
        <w:t xml:space="preserve"> restante en Transferencias de Capital, Rentas de la Propiedad e Inversión Financiera.</w:t>
      </w:r>
    </w:p>
    <w:p w:rsidR="00870DEA" w:rsidRPr="001A0D1D" w:rsidRDefault="00870DEA" w:rsidP="00870DEA">
      <w:pPr>
        <w:suppressAutoHyphens/>
        <w:jc w:val="both"/>
        <w:rPr>
          <w:rFonts w:ascii="Calibri" w:hAnsi="Calibri"/>
        </w:rPr>
      </w:pPr>
    </w:p>
    <w:p w:rsidR="00642FB2" w:rsidRPr="001A0D1D" w:rsidRDefault="00642FB2" w:rsidP="00A564ED">
      <w:pPr>
        <w:suppressAutoHyphens/>
        <w:jc w:val="both"/>
        <w:rPr>
          <w:rFonts w:ascii="Calibri" w:hAnsi="Calibri"/>
          <w:highlight w:val="yellow"/>
        </w:rPr>
      </w:pPr>
    </w:p>
    <w:p w:rsidR="009C6738" w:rsidRPr="00C668B6" w:rsidRDefault="00C32085" w:rsidP="00C668B6">
      <w:pPr>
        <w:pStyle w:val="TDC3"/>
        <w:keepNext/>
        <w:tabs>
          <w:tab w:val="right" w:pos="284"/>
          <w:tab w:val="right" w:leader="dot" w:pos="8789"/>
        </w:tabs>
        <w:suppressAutoHyphens/>
        <w:spacing w:before="120"/>
        <w:ind w:left="567"/>
        <w:outlineLvl w:val="2"/>
        <w:rPr>
          <w:rFonts w:ascii="Calibri" w:hAnsi="Calibri"/>
          <w:b/>
          <w:color w:val="595959"/>
          <w:kern w:val="32"/>
          <w:sz w:val="26"/>
        </w:rPr>
      </w:pPr>
      <w:bookmarkStart w:id="14" w:name="_Toc99450869"/>
      <w:r w:rsidRPr="00C668B6">
        <w:rPr>
          <w:rFonts w:ascii="Calibri" w:hAnsi="Calibri"/>
          <w:b/>
          <w:color w:val="595959"/>
          <w:kern w:val="32"/>
          <w:sz w:val="26"/>
        </w:rPr>
        <w:lastRenderedPageBreak/>
        <w:t xml:space="preserve">5.2. </w:t>
      </w:r>
      <w:r w:rsidR="009C6738" w:rsidRPr="00C668B6">
        <w:rPr>
          <w:rFonts w:ascii="Calibri" w:hAnsi="Calibri"/>
          <w:b/>
          <w:color w:val="595959"/>
          <w:kern w:val="32"/>
          <w:sz w:val="26"/>
        </w:rPr>
        <w:t>Análisis del Gasto Clasificado por Finalidad y Función</w:t>
      </w:r>
      <w:bookmarkEnd w:id="14"/>
    </w:p>
    <w:p w:rsidR="009C6738" w:rsidRPr="001517FD" w:rsidRDefault="009C6738" w:rsidP="001517FD">
      <w:pPr>
        <w:suppressAutoHyphens/>
        <w:rPr>
          <w:rFonts w:ascii="Calibri" w:hAnsi="Calibri"/>
        </w:rPr>
      </w:pPr>
    </w:p>
    <w:p w:rsidR="004D39AC" w:rsidRPr="001A0D1D" w:rsidRDefault="00FC1FB2" w:rsidP="004D39AC">
      <w:pPr>
        <w:suppressAutoHyphens/>
        <w:jc w:val="both"/>
        <w:rPr>
          <w:rFonts w:ascii="Calibri" w:hAnsi="Calibri"/>
        </w:rPr>
      </w:pPr>
      <w:r w:rsidRPr="00FC1FB2">
        <w:rPr>
          <w:rFonts w:ascii="Calibri" w:hAnsi="Calibri"/>
        </w:rPr>
        <w:t>Respecto</w:t>
      </w:r>
      <w:r w:rsidR="004D39AC" w:rsidRPr="00FC1FB2">
        <w:rPr>
          <w:rFonts w:ascii="Calibri" w:hAnsi="Calibri"/>
        </w:rPr>
        <w:t xml:space="preserve"> del gasto </w:t>
      </w:r>
      <w:r w:rsidRPr="00FC1FB2">
        <w:rPr>
          <w:rFonts w:ascii="Calibri" w:hAnsi="Calibri"/>
        </w:rPr>
        <w:t>según su F</w:t>
      </w:r>
      <w:r w:rsidR="00E52750" w:rsidRPr="00FC1FB2">
        <w:rPr>
          <w:rFonts w:ascii="Calibri" w:hAnsi="Calibri"/>
        </w:rPr>
        <w:t>inalidad</w:t>
      </w:r>
      <w:r w:rsidRPr="00FC1FB2">
        <w:rPr>
          <w:rFonts w:ascii="Calibri" w:hAnsi="Calibri"/>
        </w:rPr>
        <w:t>,</w:t>
      </w:r>
      <w:r w:rsidR="00695E0F" w:rsidRPr="00FC1FB2">
        <w:rPr>
          <w:rFonts w:ascii="Calibri" w:hAnsi="Calibri"/>
        </w:rPr>
        <w:t xml:space="preserve"> </w:t>
      </w:r>
      <w:r w:rsidR="00985D4E" w:rsidRPr="00FC1FB2">
        <w:rPr>
          <w:rFonts w:ascii="Calibri" w:hAnsi="Calibri"/>
        </w:rPr>
        <w:t xml:space="preserve">históricamente </w:t>
      </w:r>
      <w:r w:rsidR="004D39AC" w:rsidRPr="00FC1FB2">
        <w:rPr>
          <w:rFonts w:ascii="Calibri" w:hAnsi="Calibri"/>
        </w:rPr>
        <w:t>se destaca</w:t>
      </w:r>
      <w:r w:rsidR="004D3C7D" w:rsidRPr="00FC1FB2">
        <w:rPr>
          <w:rFonts w:ascii="Calibri" w:hAnsi="Calibri"/>
        </w:rPr>
        <w:t>n</w:t>
      </w:r>
      <w:r w:rsidR="00E52750" w:rsidRPr="00FC1FB2">
        <w:rPr>
          <w:rFonts w:ascii="Calibri" w:hAnsi="Calibri"/>
        </w:rPr>
        <w:t xml:space="preserve"> por su magnitud </w:t>
      </w:r>
      <w:r w:rsidRPr="00FC1FB2">
        <w:rPr>
          <w:rFonts w:ascii="Calibri" w:hAnsi="Calibri"/>
        </w:rPr>
        <w:t>la participación de los</w:t>
      </w:r>
      <w:r w:rsidR="00985D4E" w:rsidRPr="00FC1FB2">
        <w:rPr>
          <w:rFonts w:ascii="Calibri" w:hAnsi="Calibri"/>
        </w:rPr>
        <w:t xml:space="preserve"> </w:t>
      </w:r>
      <w:r w:rsidR="004D39AC" w:rsidRPr="00FC1FB2">
        <w:rPr>
          <w:rFonts w:ascii="Calibri" w:hAnsi="Calibri"/>
        </w:rPr>
        <w:t xml:space="preserve">Servicios Sociales, </w:t>
      </w:r>
      <w:r w:rsidR="00E52750" w:rsidRPr="00FC1FB2">
        <w:rPr>
          <w:rFonts w:ascii="Calibri" w:hAnsi="Calibri"/>
        </w:rPr>
        <w:t>que</w:t>
      </w:r>
      <w:r w:rsidR="004D39AC" w:rsidRPr="00FC1FB2">
        <w:rPr>
          <w:rFonts w:ascii="Calibri" w:hAnsi="Calibri"/>
        </w:rPr>
        <w:t xml:space="preserve"> se increment</w:t>
      </w:r>
      <w:r w:rsidR="00E52750" w:rsidRPr="00FC1FB2">
        <w:rPr>
          <w:rFonts w:ascii="Calibri" w:hAnsi="Calibri"/>
        </w:rPr>
        <w:t>aron</w:t>
      </w:r>
      <w:r w:rsidR="004D39AC" w:rsidRPr="00FC1FB2">
        <w:rPr>
          <w:rFonts w:ascii="Calibri" w:hAnsi="Calibri"/>
        </w:rPr>
        <w:t xml:space="preserve"> </w:t>
      </w:r>
      <w:r w:rsidRPr="00FC1FB2">
        <w:rPr>
          <w:rFonts w:ascii="Calibri" w:hAnsi="Calibri"/>
        </w:rPr>
        <w:t>35,5</w:t>
      </w:r>
      <w:r w:rsidR="000211ED">
        <w:rPr>
          <w:rFonts w:ascii="Calibri" w:hAnsi="Calibri"/>
        </w:rPr>
        <w:t>%</w:t>
      </w:r>
      <w:r w:rsidR="00FA4456" w:rsidRPr="00FC1FB2">
        <w:rPr>
          <w:rFonts w:ascii="Calibri" w:hAnsi="Calibri"/>
        </w:rPr>
        <w:t xml:space="preserve"> respecto </w:t>
      </w:r>
      <w:r w:rsidR="001F5144" w:rsidRPr="00FC1FB2">
        <w:rPr>
          <w:rFonts w:ascii="Calibri" w:hAnsi="Calibri"/>
        </w:rPr>
        <w:t>de</w:t>
      </w:r>
      <w:r w:rsidR="00695E0F" w:rsidRPr="00FC1FB2">
        <w:rPr>
          <w:rFonts w:ascii="Calibri" w:hAnsi="Calibri"/>
        </w:rPr>
        <w:t xml:space="preserve"> </w:t>
      </w:r>
      <w:r w:rsidR="00CE08E7" w:rsidRPr="00FC1FB2">
        <w:rPr>
          <w:rFonts w:ascii="Calibri" w:hAnsi="Calibri"/>
        </w:rPr>
        <w:t>201</w:t>
      </w:r>
      <w:r w:rsidR="00C94ADE" w:rsidRPr="00FC1FB2">
        <w:rPr>
          <w:rFonts w:ascii="Calibri" w:hAnsi="Calibri"/>
        </w:rPr>
        <w:t>9</w:t>
      </w:r>
      <w:r w:rsidR="004D39AC" w:rsidRPr="00FC1FB2">
        <w:rPr>
          <w:rFonts w:ascii="Calibri" w:hAnsi="Calibri"/>
        </w:rPr>
        <w:t xml:space="preserve">. </w:t>
      </w:r>
      <w:r w:rsidR="00843D92" w:rsidRPr="00FC1FB2">
        <w:rPr>
          <w:rFonts w:ascii="Calibri" w:hAnsi="Calibri"/>
        </w:rPr>
        <w:t>D</w:t>
      </w:r>
      <w:r w:rsidR="004D39AC" w:rsidRPr="00FC1FB2">
        <w:rPr>
          <w:rFonts w:ascii="Calibri" w:hAnsi="Calibri"/>
        </w:rPr>
        <w:t xml:space="preserve">icha finalidad se encuentra desagregada en el Cuadro </w:t>
      </w:r>
      <w:r w:rsidR="003D5D8C" w:rsidRPr="00FC1FB2">
        <w:rPr>
          <w:rFonts w:ascii="Calibri" w:hAnsi="Calibri"/>
        </w:rPr>
        <w:t>5</w:t>
      </w:r>
      <w:r w:rsidR="004D39AC" w:rsidRPr="00FC1FB2">
        <w:rPr>
          <w:rFonts w:ascii="Calibri" w:hAnsi="Calibri"/>
        </w:rPr>
        <w:t xml:space="preserve">, </w:t>
      </w:r>
      <w:r w:rsidR="00E52750" w:rsidRPr="00FC1FB2">
        <w:rPr>
          <w:rFonts w:ascii="Calibri" w:hAnsi="Calibri"/>
        </w:rPr>
        <w:t>pudiendo</w:t>
      </w:r>
      <w:r w:rsidR="004D39AC" w:rsidRPr="00FC1FB2">
        <w:rPr>
          <w:rFonts w:ascii="Calibri" w:hAnsi="Calibri"/>
        </w:rPr>
        <w:t xml:space="preserve"> observarse</w:t>
      </w:r>
      <w:r w:rsidR="00E52750" w:rsidRPr="00FC1FB2">
        <w:rPr>
          <w:rFonts w:ascii="Calibri" w:hAnsi="Calibri"/>
        </w:rPr>
        <w:t xml:space="preserve"> que</w:t>
      </w:r>
      <w:r w:rsidR="004D39AC" w:rsidRPr="00FC1FB2">
        <w:rPr>
          <w:rFonts w:ascii="Calibri" w:hAnsi="Calibri"/>
        </w:rPr>
        <w:t xml:space="preserve"> la expansión </w:t>
      </w:r>
      <w:r w:rsidR="00D5373B" w:rsidRPr="00FC1FB2">
        <w:rPr>
          <w:rFonts w:ascii="Calibri" w:hAnsi="Calibri"/>
        </w:rPr>
        <w:t xml:space="preserve">relativa </w:t>
      </w:r>
      <w:r w:rsidR="004D39AC" w:rsidRPr="00FC1FB2">
        <w:rPr>
          <w:rFonts w:ascii="Calibri" w:hAnsi="Calibri"/>
        </w:rPr>
        <w:t xml:space="preserve">de la función </w:t>
      </w:r>
      <w:r w:rsidR="009E28D9" w:rsidRPr="00FC1FB2">
        <w:rPr>
          <w:rFonts w:ascii="Calibri" w:hAnsi="Calibri"/>
        </w:rPr>
        <w:t>Seguridad Social</w:t>
      </w:r>
      <w:r w:rsidR="0033712A" w:rsidRPr="00FC1FB2">
        <w:rPr>
          <w:rFonts w:ascii="Calibri" w:hAnsi="Calibri"/>
        </w:rPr>
        <w:t xml:space="preserve"> (con un </w:t>
      </w:r>
      <w:r w:rsidR="00760C2D" w:rsidRPr="00FC1FB2">
        <w:rPr>
          <w:rFonts w:ascii="Calibri" w:hAnsi="Calibri"/>
        </w:rPr>
        <w:t>incremento</w:t>
      </w:r>
      <w:r w:rsidR="004D39AC" w:rsidRPr="00FC1FB2">
        <w:rPr>
          <w:rFonts w:ascii="Calibri" w:hAnsi="Calibri"/>
        </w:rPr>
        <w:t xml:space="preserve"> de </w:t>
      </w:r>
      <w:r w:rsidRPr="00FC1FB2">
        <w:rPr>
          <w:rFonts w:ascii="Calibri" w:hAnsi="Calibri"/>
        </w:rPr>
        <w:t>38,7</w:t>
      </w:r>
      <w:r w:rsidR="000211ED">
        <w:rPr>
          <w:rFonts w:ascii="Calibri" w:hAnsi="Calibri"/>
        </w:rPr>
        <w:t>%</w:t>
      </w:r>
      <w:r w:rsidR="0033712A" w:rsidRPr="00FC1FB2">
        <w:rPr>
          <w:rFonts w:ascii="Calibri" w:hAnsi="Calibri"/>
        </w:rPr>
        <w:t>)</w:t>
      </w:r>
      <w:r w:rsidR="004A12EB" w:rsidRPr="00FC1FB2">
        <w:rPr>
          <w:rFonts w:ascii="Calibri" w:hAnsi="Calibri"/>
        </w:rPr>
        <w:t xml:space="preserve"> </w:t>
      </w:r>
      <w:r w:rsidR="00E52750" w:rsidRPr="00FC1FB2">
        <w:rPr>
          <w:rFonts w:ascii="Calibri" w:hAnsi="Calibri"/>
        </w:rPr>
        <w:t>y de la función</w:t>
      </w:r>
      <w:r w:rsidR="00760C2D" w:rsidRPr="00FC1FB2">
        <w:rPr>
          <w:rFonts w:ascii="Calibri" w:hAnsi="Calibri"/>
        </w:rPr>
        <w:t xml:space="preserve"> Educación y C</w:t>
      </w:r>
      <w:r w:rsidR="004D39AC" w:rsidRPr="00FC1FB2">
        <w:rPr>
          <w:rFonts w:ascii="Calibri" w:hAnsi="Calibri"/>
        </w:rPr>
        <w:t>ultura</w:t>
      </w:r>
      <w:r w:rsidR="0033712A" w:rsidRPr="00FC1FB2">
        <w:rPr>
          <w:rFonts w:ascii="Calibri" w:hAnsi="Calibri"/>
        </w:rPr>
        <w:t xml:space="preserve"> (que aumenta</w:t>
      </w:r>
      <w:r w:rsidR="00E52750" w:rsidRPr="00FC1FB2">
        <w:rPr>
          <w:rFonts w:ascii="Calibri" w:hAnsi="Calibri"/>
        </w:rPr>
        <w:t xml:space="preserve"> </w:t>
      </w:r>
      <w:r w:rsidRPr="00FC1FB2">
        <w:rPr>
          <w:rFonts w:ascii="Calibri" w:hAnsi="Calibri"/>
        </w:rPr>
        <w:t>33,2</w:t>
      </w:r>
      <w:r w:rsidR="000211ED">
        <w:rPr>
          <w:rFonts w:ascii="Calibri" w:hAnsi="Calibri"/>
        </w:rPr>
        <w:t>%</w:t>
      </w:r>
      <w:r w:rsidR="0033712A" w:rsidRPr="00FC1FB2">
        <w:rPr>
          <w:rFonts w:ascii="Calibri" w:hAnsi="Calibri"/>
        </w:rPr>
        <w:t>)</w:t>
      </w:r>
      <w:r w:rsidR="00E52750" w:rsidRPr="00FC1FB2">
        <w:rPr>
          <w:rFonts w:ascii="Calibri" w:hAnsi="Calibri"/>
        </w:rPr>
        <w:t xml:space="preserve"> explican </w:t>
      </w:r>
      <w:r w:rsidRPr="00FC1FB2">
        <w:rPr>
          <w:rFonts w:ascii="Calibri" w:hAnsi="Calibri"/>
        </w:rPr>
        <w:t>66,9</w:t>
      </w:r>
      <w:r w:rsidR="000211ED">
        <w:rPr>
          <w:rFonts w:ascii="Calibri" w:hAnsi="Calibri"/>
        </w:rPr>
        <w:t>%</w:t>
      </w:r>
      <w:r w:rsidR="00AB52D2" w:rsidRPr="00FC1FB2">
        <w:rPr>
          <w:rFonts w:ascii="Calibri" w:hAnsi="Calibri"/>
        </w:rPr>
        <w:t xml:space="preserve"> del </w:t>
      </w:r>
      <w:r w:rsidR="0033712A" w:rsidRPr="00FC1FB2">
        <w:rPr>
          <w:rFonts w:ascii="Calibri" w:hAnsi="Calibri"/>
        </w:rPr>
        <w:t>crecimiento</w:t>
      </w:r>
      <w:r w:rsidR="00AB52D2" w:rsidRPr="00FC1FB2">
        <w:rPr>
          <w:rFonts w:ascii="Calibri" w:hAnsi="Calibri"/>
        </w:rPr>
        <w:t xml:space="preserve"> de</w:t>
      </w:r>
      <w:r w:rsidR="00E52750" w:rsidRPr="00FC1FB2">
        <w:rPr>
          <w:rFonts w:ascii="Calibri" w:hAnsi="Calibri"/>
        </w:rPr>
        <w:t xml:space="preserve"> toda la</w:t>
      </w:r>
      <w:r w:rsidR="004D39AC" w:rsidRPr="00FC1FB2">
        <w:rPr>
          <w:rFonts w:ascii="Calibri" w:hAnsi="Calibri"/>
        </w:rPr>
        <w:t xml:space="preserve"> finalidad Servicios Sociales</w:t>
      </w:r>
      <w:r w:rsidR="00337858" w:rsidRPr="00FC1FB2">
        <w:rPr>
          <w:rFonts w:ascii="Calibri" w:hAnsi="Calibri"/>
        </w:rPr>
        <w:t>.</w:t>
      </w:r>
    </w:p>
    <w:p w:rsidR="000427DC" w:rsidRPr="001A0D1D" w:rsidRDefault="000427DC" w:rsidP="004D39AC">
      <w:pPr>
        <w:suppressAutoHyphens/>
        <w:jc w:val="both"/>
        <w:rPr>
          <w:rFonts w:ascii="Calibri" w:hAnsi="Calibri"/>
        </w:rPr>
      </w:pPr>
    </w:p>
    <w:p w:rsidR="000B742E" w:rsidRPr="001A0D1D" w:rsidRDefault="000B742E" w:rsidP="000B742E">
      <w:pPr>
        <w:suppressAutoHyphens/>
        <w:ind w:left="851" w:right="850"/>
        <w:jc w:val="center"/>
        <w:rPr>
          <w:rFonts w:ascii="Calibri" w:hAnsi="Calibri"/>
        </w:rPr>
      </w:pPr>
      <w:r w:rsidRPr="001A0D1D">
        <w:rPr>
          <w:rFonts w:ascii="Calibri" w:hAnsi="Calibri"/>
          <w:b/>
        </w:rPr>
        <w:t xml:space="preserve">Cuadro </w:t>
      </w:r>
      <w:r w:rsidR="003D5D8C" w:rsidRPr="001A0D1D">
        <w:rPr>
          <w:rFonts w:ascii="Calibri" w:hAnsi="Calibri"/>
          <w:b/>
        </w:rPr>
        <w:t>5</w:t>
      </w:r>
      <w:r w:rsidRPr="001A0D1D">
        <w:rPr>
          <w:rFonts w:ascii="Calibri" w:hAnsi="Calibri"/>
          <w:b/>
        </w:rPr>
        <w:t>.</w:t>
      </w:r>
      <w:r w:rsidRPr="001A0D1D">
        <w:rPr>
          <w:rFonts w:ascii="Calibri" w:hAnsi="Calibri"/>
        </w:rPr>
        <w:t xml:space="preserve"> Composición del Gasto Público de la APNF. Clasificación por Finalidad y </w:t>
      </w:r>
      <w:r w:rsidR="000B2B81" w:rsidRPr="001A0D1D">
        <w:rPr>
          <w:rFonts w:ascii="Calibri" w:hAnsi="Calibri"/>
        </w:rPr>
        <w:t xml:space="preserve">por </w:t>
      </w:r>
      <w:r w:rsidRPr="001A0D1D">
        <w:rPr>
          <w:rFonts w:ascii="Calibri" w:hAnsi="Calibri"/>
        </w:rPr>
        <w:t>Funciones de Servicios Sociales</w:t>
      </w:r>
    </w:p>
    <w:p w:rsidR="000B742E" w:rsidRPr="001A0D1D" w:rsidRDefault="000B742E" w:rsidP="000B742E">
      <w:pPr>
        <w:suppressAutoHyphens/>
        <w:jc w:val="center"/>
        <w:rPr>
          <w:rFonts w:ascii="Calibri" w:hAnsi="Calibri"/>
        </w:rPr>
      </w:pPr>
      <w:r w:rsidRPr="001A0D1D">
        <w:rPr>
          <w:rFonts w:ascii="Calibri" w:hAnsi="Calibri"/>
        </w:rPr>
        <w:t xml:space="preserve">Comparativo </w:t>
      </w:r>
      <w:r w:rsidR="004841D8" w:rsidRPr="001A0D1D">
        <w:rPr>
          <w:rFonts w:ascii="Calibri" w:hAnsi="Calibri"/>
        </w:rPr>
        <w:t>IV</w:t>
      </w:r>
      <w:r w:rsidR="005906FD" w:rsidRPr="001A0D1D">
        <w:rPr>
          <w:rFonts w:ascii="Calibri" w:hAnsi="Calibri"/>
        </w:rPr>
        <w:t xml:space="preserve"> Trimestre Acumulado</w:t>
      </w:r>
      <w:r w:rsidRPr="001A0D1D">
        <w:rPr>
          <w:rFonts w:ascii="Calibri" w:hAnsi="Calibri"/>
        </w:rPr>
        <w:t xml:space="preserve"> 20</w:t>
      </w:r>
      <w:r w:rsidR="0082736B">
        <w:rPr>
          <w:rFonts w:ascii="Calibri" w:hAnsi="Calibri"/>
        </w:rPr>
        <w:t>20</w:t>
      </w:r>
      <w:r w:rsidRPr="001A0D1D">
        <w:rPr>
          <w:rFonts w:ascii="Calibri" w:hAnsi="Calibri"/>
        </w:rPr>
        <w:t>-201</w:t>
      </w:r>
      <w:r w:rsidR="0082736B">
        <w:rPr>
          <w:rFonts w:ascii="Calibri" w:hAnsi="Calibri"/>
        </w:rPr>
        <w:t>9</w:t>
      </w:r>
    </w:p>
    <w:p w:rsidR="000B742E" w:rsidRPr="001A0D1D" w:rsidRDefault="000B742E" w:rsidP="000B742E">
      <w:pPr>
        <w:suppressAutoHyphens/>
        <w:spacing w:after="120"/>
        <w:jc w:val="center"/>
        <w:rPr>
          <w:rFonts w:ascii="Calibri" w:hAnsi="Calibri"/>
        </w:rPr>
      </w:pPr>
      <w:r w:rsidRPr="001A0D1D">
        <w:rPr>
          <w:rFonts w:ascii="Calibri" w:hAnsi="Calibri"/>
        </w:rPr>
        <w:t>En millones de pesos</w:t>
      </w:r>
    </w:p>
    <w:p w:rsidR="00487BB7" w:rsidRPr="002424D6" w:rsidRDefault="009D7CB2" w:rsidP="000B742E">
      <w:pPr>
        <w:suppressAutoHyphens/>
        <w:jc w:val="center"/>
        <w:rPr>
          <w:rFonts w:ascii="Calibri" w:hAnsi="Calibri"/>
        </w:rPr>
      </w:pPr>
      <w:r w:rsidRPr="00CD3EEB">
        <w:rPr>
          <w:noProof/>
          <w:lang w:val="es-AR" w:eastAsia="es-AR"/>
        </w:rPr>
        <w:drawing>
          <wp:inline distT="0" distB="0" distL="0" distR="0">
            <wp:extent cx="4991100" cy="2842260"/>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91100" cy="2842260"/>
                    </a:xfrm>
                    <a:prstGeom prst="rect">
                      <a:avLst/>
                    </a:prstGeom>
                    <a:noFill/>
                    <a:ln>
                      <a:noFill/>
                    </a:ln>
                  </pic:spPr>
                </pic:pic>
              </a:graphicData>
            </a:graphic>
          </wp:inline>
        </w:drawing>
      </w:r>
    </w:p>
    <w:p w:rsidR="004D39AC" w:rsidRPr="001A0D1D" w:rsidRDefault="004D39AC" w:rsidP="00CD3EEB">
      <w:pPr>
        <w:suppressAutoHyphens/>
        <w:ind w:left="851"/>
        <w:jc w:val="both"/>
        <w:rPr>
          <w:rFonts w:ascii="Calibri" w:hAnsi="Calibri"/>
          <w:sz w:val="20"/>
          <w:szCs w:val="20"/>
        </w:rPr>
      </w:pPr>
      <w:r w:rsidRPr="001A0D1D">
        <w:rPr>
          <w:rFonts w:ascii="Calibri" w:hAnsi="Calibri"/>
          <w:b/>
          <w:sz w:val="20"/>
          <w:szCs w:val="20"/>
        </w:rPr>
        <w:t>Fuente</w:t>
      </w:r>
      <w:r w:rsidRPr="001A0D1D">
        <w:rPr>
          <w:rFonts w:ascii="Calibri" w:hAnsi="Calibri"/>
          <w:sz w:val="20"/>
          <w:szCs w:val="20"/>
        </w:rPr>
        <w:t>:</w:t>
      </w:r>
      <w:r w:rsidR="00951BA6" w:rsidRPr="00951BA6">
        <w:rPr>
          <w:rFonts w:ascii="Calibri" w:hAnsi="Calibri"/>
          <w:sz w:val="20"/>
          <w:szCs w:val="20"/>
        </w:rPr>
        <w:t xml:space="preserve"> </w:t>
      </w:r>
      <w:r w:rsidR="00951BA6">
        <w:rPr>
          <w:rFonts w:ascii="Calibri" w:hAnsi="Calibri"/>
          <w:sz w:val="20"/>
          <w:szCs w:val="20"/>
        </w:rPr>
        <w:t>Secretaria de Hacienda en base a información provista por las jurisdicciones</w:t>
      </w:r>
    </w:p>
    <w:p w:rsidR="004D39AC" w:rsidRPr="001A0D1D" w:rsidRDefault="004D39AC" w:rsidP="004D39AC">
      <w:pPr>
        <w:suppressAutoHyphens/>
        <w:jc w:val="both"/>
        <w:rPr>
          <w:rFonts w:ascii="Calibri" w:hAnsi="Calibri"/>
        </w:rPr>
      </w:pPr>
    </w:p>
    <w:p w:rsidR="00C60634" w:rsidRPr="00C60634" w:rsidRDefault="00FC1FB2" w:rsidP="00870DEA">
      <w:pPr>
        <w:suppressAutoHyphens/>
        <w:jc w:val="both"/>
        <w:rPr>
          <w:rFonts w:ascii="Calibri" w:hAnsi="Calibri"/>
        </w:rPr>
      </w:pPr>
      <w:r w:rsidRPr="00C60634">
        <w:rPr>
          <w:rFonts w:ascii="Calibri" w:hAnsi="Calibri"/>
        </w:rPr>
        <w:t xml:space="preserve">No obstante, funciones como Salud y Promoción y Asistencia Social adquieren un mayor impulso, con incrementos de </w:t>
      </w:r>
      <w:r w:rsidR="00C60634" w:rsidRPr="00C60634">
        <w:rPr>
          <w:rFonts w:ascii="Calibri" w:hAnsi="Calibri"/>
        </w:rPr>
        <w:t>48,0</w:t>
      </w:r>
      <w:r w:rsidR="000211ED">
        <w:rPr>
          <w:rFonts w:ascii="Calibri" w:hAnsi="Calibri"/>
        </w:rPr>
        <w:t>%</w:t>
      </w:r>
      <w:r w:rsidRPr="00C60634">
        <w:rPr>
          <w:rFonts w:ascii="Calibri" w:hAnsi="Calibri"/>
        </w:rPr>
        <w:t xml:space="preserve"> y </w:t>
      </w:r>
      <w:r w:rsidR="00C60634" w:rsidRPr="00C60634">
        <w:rPr>
          <w:rFonts w:ascii="Calibri" w:hAnsi="Calibri"/>
        </w:rPr>
        <w:t>47,1</w:t>
      </w:r>
      <w:r w:rsidR="000211ED">
        <w:rPr>
          <w:rFonts w:ascii="Calibri" w:hAnsi="Calibri"/>
        </w:rPr>
        <w:t>%</w:t>
      </w:r>
      <w:r w:rsidRPr="00C60634">
        <w:rPr>
          <w:rFonts w:ascii="Calibri" w:hAnsi="Calibri"/>
        </w:rPr>
        <w:t xml:space="preserve"> respectivamente, lo que se explica en el contexto de la Emergencia Sanitaria. </w:t>
      </w:r>
      <w:r w:rsidR="00C60634" w:rsidRPr="00C60634">
        <w:rPr>
          <w:rFonts w:ascii="Calibri" w:hAnsi="Calibri"/>
        </w:rPr>
        <w:t>En esta oportunidad, a la habitual respuesta a la evolución de la política salarial, debe agregarse la priorización en el gasto de adquisiciones y logística para la gestión de la pandemia.</w:t>
      </w:r>
    </w:p>
    <w:p w:rsidR="00C60634" w:rsidRPr="00C60634" w:rsidRDefault="00C60634" w:rsidP="00870DEA">
      <w:pPr>
        <w:suppressAutoHyphens/>
        <w:jc w:val="both"/>
        <w:rPr>
          <w:rFonts w:ascii="Calibri" w:hAnsi="Calibri"/>
        </w:rPr>
      </w:pPr>
    </w:p>
    <w:p w:rsidR="00870DEA" w:rsidRPr="00C60634" w:rsidRDefault="00870DEA" w:rsidP="00870DEA">
      <w:pPr>
        <w:suppressAutoHyphens/>
        <w:jc w:val="both"/>
        <w:rPr>
          <w:rFonts w:ascii="Calibri" w:hAnsi="Calibri"/>
        </w:rPr>
      </w:pPr>
      <w:r w:rsidRPr="00C60634">
        <w:rPr>
          <w:rFonts w:ascii="Calibri" w:hAnsi="Calibri"/>
        </w:rPr>
        <w:t xml:space="preserve">El </w:t>
      </w:r>
      <w:r w:rsidR="00FC1FB2" w:rsidRPr="00C60634">
        <w:rPr>
          <w:rFonts w:ascii="Calibri" w:hAnsi="Calibri"/>
        </w:rPr>
        <w:t>increme</w:t>
      </w:r>
      <w:r w:rsidRPr="00C60634">
        <w:rPr>
          <w:rFonts w:ascii="Calibri" w:hAnsi="Calibri"/>
        </w:rPr>
        <w:t xml:space="preserve">nto de la función Seguridad Social </w:t>
      </w:r>
      <w:r w:rsidR="00C60634" w:rsidRPr="00C60634">
        <w:rPr>
          <w:rFonts w:ascii="Calibri" w:hAnsi="Calibri"/>
        </w:rPr>
        <w:t xml:space="preserve">se vio afectado por </w:t>
      </w:r>
      <w:r w:rsidRPr="00C60634">
        <w:rPr>
          <w:rFonts w:ascii="Calibri" w:hAnsi="Calibri"/>
        </w:rPr>
        <w:t>la evolución de la movilidad jubilatoria que siguió la dinámica</w:t>
      </w:r>
      <w:r w:rsidR="00C60634" w:rsidRPr="00C60634">
        <w:rPr>
          <w:rFonts w:ascii="Calibri" w:hAnsi="Calibri"/>
        </w:rPr>
        <w:t xml:space="preserve"> más conservadora</w:t>
      </w:r>
      <w:r w:rsidRPr="00C60634">
        <w:rPr>
          <w:rFonts w:ascii="Calibri" w:hAnsi="Calibri"/>
        </w:rPr>
        <w:t xml:space="preserve"> de los salarios del personal activo y por el aumento de la cantidad de jubilados y pensionados</w:t>
      </w:r>
      <w:r w:rsidRPr="00C60634">
        <w:rPr>
          <w:rStyle w:val="Refdenotaalpie"/>
          <w:rFonts w:ascii="Calibri" w:hAnsi="Calibri"/>
        </w:rPr>
        <w:footnoteReference w:id="5"/>
      </w:r>
      <w:r w:rsidRPr="00C60634">
        <w:rPr>
          <w:rFonts w:ascii="Calibri" w:hAnsi="Calibri"/>
        </w:rPr>
        <w:t>.</w:t>
      </w:r>
    </w:p>
    <w:p w:rsidR="00C60634" w:rsidRPr="00C60634" w:rsidRDefault="00C60634" w:rsidP="00870DEA">
      <w:pPr>
        <w:suppressAutoHyphens/>
        <w:jc w:val="both"/>
        <w:rPr>
          <w:rFonts w:ascii="Calibri" w:hAnsi="Calibri"/>
        </w:rPr>
      </w:pPr>
    </w:p>
    <w:p w:rsidR="00D57FC7" w:rsidRPr="001A0D1D" w:rsidRDefault="00D57FC7" w:rsidP="00D57FC7">
      <w:pPr>
        <w:suppressAutoHyphens/>
        <w:jc w:val="both"/>
        <w:rPr>
          <w:rFonts w:ascii="Calibri" w:hAnsi="Calibri"/>
        </w:rPr>
      </w:pPr>
      <w:r w:rsidRPr="00D57FC7">
        <w:rPr>
          <w:rFonts w:ascii="Calibri" w:hAnsi="Calibri"/>
        </w:rPr>
        <w:lastRenderedPageBreak/>
        <w:t>El Gráfico 4 muestra la participación relativa de las finalidades al cierre de 20</w:t>
      </w:r>
      <w:r w:rsidR="00F411BE">
        <w:rPr>
          <w:rFonts w:ascii="Calibri" w:hAnsi="Calibri"/>
        </w:rPr>
        <w:t>20</w:t>
      </w:r>
      <w:r w:rsidRPr="00D57FC7">
        <w:rPr>
          <w:rFonts w:ascii="Calibri" w:hAnsi="Calibri"/>
        </w:rPr>
        <w:t xml:space="preserve">, donde puede verse la relevancia de los Servicios Sociales con una participación en el gasto total de </w:t>
      </w:r>
      <w:r w:rsidR="00BC2FAE">
        <w:rPr>
          <w:rFonts w:ascii="Calibri" w:hAnsi="Calibri"/>
        </w:rPr>
        <w:t>58,7</w:t>
      </w:r>
      <w:r w:rsidR="000211ED">
        <w:rPr>
          <w:rFonts w:ascii="Calibri" w:hAnsi="Calibri"/>
        </w:rPr>
        <w:t>%</w:t>
      </w:r>
      <w:r w:rsidRPr="00D57FC7">
        <w:rPr>
          <w:rFonts w:ascii="Calibri" w:hAnsi="Calibri"/>
        </w:rPr>
        <w:t>, superando significativamente la participación de la finalidad que le sigue en importancia, la Administración Gubernamental (</w:t>
      </w:r>
      <w:r w:rsidR="00BC2FAE">
        <w:rPr>
          <w:rFonts w:ascii="Calibri" w:hAnsi="Calibri"/>
        </w:rPr>
        <w:t>22,3</w:t>
      </w:r>
      <w:r w:rsidR="000211ED">
        <w:rPr>
          <w:rFonts w:ascii="Calibri" w:hAnsi="Calibri"/>
        </w:rPr>
        <w:t>%</w:t>
      </w:r>
      <w:r w:rsidRPr="00D57FC7">
        <w:rPr>
          <w:rFonts w:ascii="Calibri" w:hAnsi="Calibri"/>
        </w:rPr>
        <w:t xml:space="preserve">). Por último, se destaca que la finalidad Deuda Pública </w:t>
      </w:r>
      <w:r w:rsidR="00BC2FAE">
        <w:rPr>
          <w:rFonts w:ascii="Calibri" w:hAnsi="Calibri"/>
        </w:rPr>
        <w:t>registra una caída de 20,2 %</w:t>
      </w:r>
      <w:r w:rsidRPr="00D57FC7">
        <w:rPr>
          <w:rFonts w:ascii="Calibri" w:hAnsi="Calibri"/>
        </w:rPr>
        <w:t xml:space="preserve">, </w:t>
      </w:r>
      <w:r w:rsidR="00BC2FAE">
        <w:rPr>
          <w:rFonts w:ascii="Calibri" w:hAnsi="Calibri"/>
        </w:rPr>
        <w:t>disminuyendo su</w:t>
      </w:r>
      <w:r w:rsidRPr="00D57FC7">
        <w:rPr>
          <w:rFonts w:ascii="Calibri" w:hAnsi="Calibri"/>
        </w:rPr>
        <w:t xml:space="preserve"> participación </w:t>
      </w:r>
      <w:r w:rsidR="00BC2FAE">
        <w:rPr>
          <w:rFonts w:ascii="Calibri" w:hAnsi="Calibri"/>
        </w:rPr>
        <w:t>a</w:t>
      </w:r>
      <w:r w:rsidRPr="00D57FC7">
        <w:rPr>
          <w:rFonts w:ascii="Calibri" w:hAnsi="Calibri"/>
        </w:rPr>
        <w:t xml:space="preserve"> </w:t>
      </w:r>
      <w:r w:rsidR="00BC2FAE">
        <w:rPr>
          <w:rFonts w:ascii="Calibri" w:hAnsi="Calibri"/>
        </w:rPr>
        <w:t>2,9</w:t>
      </w:r>
      <w:r w:rsidR="000211ED">
        <w:rPr>
          <w:rFonts w:ascii="Calibri" w:hAnsi="Calibri"/>
        </w:rPr>
        <w:t>%</w:t>
      </w:r>
      <w:r w:rsidRPr="00D57FC7">
        <w:rPr>
          <w:rFonts w:ascii="Calibri" w:hAnsi="Calibri"/>
        </w:rPr>
        <w:t xml:space="preserve"> </w:t>
      </w:r>
      <w:r w:rsidR="00BC2FAE">
        <w:rPr>
          <w:rFonts w:ascii="Calibri" w:hAnsi="Calibri"/>
        </w:rPr>
        <w:t>d</w:t>
      </w:r>
      <w:r w:rsidRPr="00D57FC7">
        <w:rPr>
          <w:rFonts w:ascii="Calibri" w:hAnsi="Calibri"/>
        </w:rPr>
        <w:t>el gasto total.</w:t>
      </w:r>
    </w:p>
    <w:p w:rsidR="00D57FC7" w:rsidRPr="001A0D1D" w:rsidRDefault="00D57FC7" w:rsidP="00D57FC7">
      <w:pPr>
        <w:suppressAutoHyphens/>
        <w:jc w:val="both"/>
        <w:rPr>
          <w:rFonts w:ascii="Calibri" w:hAnsi="Calibri" w:cs="Arial"/>
        </w:rPr>
      </w:pPr>
    </w:p>
    <w:p w:rsidR="000B742E" w:rsidRPr="001A0D1D" w:rsidRDefault="000B742E" w:rsidP="000B742E">
      <w:pPr>
        <w:suppressAutoHyphens/>
        <w:jc w:val="center"/>
        <w:rPr>
          <w:rFonts w:ascii="Calibri" w:hAnsi="Calibri"/>
        </w:rPr>
      </w:pPr>
      <w:r w:rsidRPr="001A0D1D">
        <w:rPr>
          <w:rFonts w:ascii="Calibri" w:hAnsi="Calibri"/>
          <w:b/>
        </w:rPr>
        <w:t>Gráfico 4.</w:t>
      </w:r>
      <w:r w:rsidRPr="001A0D1D">
        <w:rPr>
          <w:rFonts w:ascii="Calibri" w:hAnsi="Calibri"/>
        </w:rPr>
        <w:t xml:space="preserve"> Estructura del Gasto por Finalidad y Principales Funciones</w:t>
      </w:r>
    </w:p>
    <w:p w:rsidR="000B742E" w:rsidRPr="001A0D1D" w:rsidRDefault="005906FD" w:rsidP="000B742E">
      <w:pPr>
        <w:suppressAutoHyphens/>
        <w:spacing w:after="120"/>
        <w:jc w:val="center"/>
        <w:rPr>
          <w:rFonts w:ascii="Calibri" w:hAnsi="Calibri"/>
        </w:rPr>
      </w:pPr>
      <w:r w:rsidRPr="001A0D1D">
        <w:rPr>
          <w:rFonts w:ascii="Calibri" w:hAnsi="Calibri"/>
        </w:rPr>
        <w:t>Acumulado I</w:t>
      </w:r>
      <w:r w:rsidR="000B2B81" w:rsidRPr="001A0D1D">
        <w:rPr>
          <w:rFonts w:ascii="Calibri" w:hAnsi="Calibri"/>
        </w:rPr>
        <w:t>V</w:t>
      </w:r>
      <w:r w:rsidRPr="001A0D1D">
        <w:rPr>
          <w:rFonts w:ascii="Calibri" w:hAnsi="Calibri"/>
        </w:rPr>
        <w:t xml:space="preserve"> Tri</w:t>
      </w:r>
      <w:r w:rsidR="000B742E" w:rsidRPr="001A0D1D">
        <w:rPr>
          <w:rFonts w:ascii="Calibri" w:hAnsi="Calibri"/>
        </w:rPr>
        <w:t>mestre 20</w:t>
      </w:r>
      <w:r w:rsidR="0082736B">
        <w:rPr>
          <w:rFonts w:ascii="Calibri" w:hAnsi="Calibri"/>
        </w:rPr>
        <w:t>20</w:t>
      </w:r>
    </w:p>
    <w:p w:rsidR="00487BB7" w:rsidRPr="002424D6" w:rsidRDefault="009D7CB2" w:rsidP="00027996">
      <w:pPr>
        <w:suppressAutoHyphens/>
        <w:spacing w:before="120" w:after="120"/>
        <w:jc w:val="center"/>
        <w:rPr>
          <w:rFonts w:ascii="Calibri" w:hAnsi="Calibri"/>
          <w:sz w:val="20"/>
          <w:szCs w:val="20"/>
        </w:rPr>
      </w:pPr>
      <w:r>
        <w:rPr>
          <w:rFonts w:ascii="Calibri" w:hAnsi="Calibri"/>
          <w:noProof/>
          <w:sz w:val="20"/>
          <w:szCs w:val="20"/>
          <w:lang w:val="es-AR" w:eastAsia="es-AR"/>
        </w:rPr>
        <w:drawing>
          <wp:inline distT="0" distB="0" distL="0" distR="0">
            <wp:extent cx="6120130" cy="3167380"/>
            <wp:effectExtent l="19050" t="19050" r="0"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3167380"/>
                    </a:xfrm>
                    <a:prstGeom prst="rect">
                      <a:avLst/>
                    </a:prstGeom>
                    <a:noFill/>
                    <a:ln w="15875">
                      <a:solidFill>
                        <a:srgbClr val="000000"/>
                      </a:solidFill>
                      <a:miter lim="800000"/>
                      <a:headEnd/>
                      <a:tailEnd/>
                    </a:ln>
                  </pic:spPr>
                </pic:pic>
              </a:graphicData>
            </a:graphic>
          </wp:inline>
        </w:drawing>
      </w:r>
    </w:p>
    <w:p w:rsidR="005E28B7" w:rsidRDefault="005E28B7" w:rsidP="002424D6">
      <w:pPr>
        <w:suppressAutoHyphens/>
        <w:ind w:left="120" w:right="283"/>
        <w:rPr>
          <w:rFonts w:ascii="Calibri" w:hAnsi="Calibri"/>
          <w:sz w:val="20"/>
          <w:szCs w:val="20"/>
        </w:rPr>
      </w:pPr>
      <w:r w:rsidRPr="00143254">
        <w:rPr>
          <w:rFonts w:ascii="Calibri" w:hAnsi="Calibri"/>
          <w:b/>
          <w:sz w:val="20"/>
          <w:szCs w:val="20"/>
        </w:rPr>
        <w:t xml:space="preserve">(1): </w:t>
      </w:r>
      <w:r w:rsidRPr="00143254">
        <w:rPr>
          <w:rFonts w:ascii="Calibri" w:hAnsi="Calibri"/>
          <w:sz w:val="20"/>
          <w:szCs w:val="20"/>
        </w:rPr>
        <w:t xml:space="preserve">Otros </w:t>
      </w:r>
      <w:r>
        <w:rPr>
          <w:rFonts w:ascii="Calibri" w:hAnsi="Calibri"/>
          <w:sz w:val="20"/>
          <w:szCs w:val="20"/>
        </w:rPr>
        <w:t>Servicios Sociales</w:t>
      </w:r>
      <w:r w:rsidRPr="00143254">
        <w:rPr>
          <w:rFonts w:ascii="Calibri" w:hAnsi="Calibri"/>
          <w:sz w:val="20"/>
          <w:szCs w:val="20"/>
        </w:rPr>
        <w:t xml:space="preserve"> comprende </w:t>
      </w:r>
      <w:r>
        <w:rPr>
          <w:rFonts w:ascii="Calibri" w:hAnsi="Calibri"/>
          <w:sz w:val="20"/>
          <w:szCs w:val="20"/>
        </w:rPr>
        <w:t>Promoción y Asistencia Social, Ciencia y Técnica, Trabajo, Agua potable y alcantarillado y Otros servicios urbanos.</w:t>
      </w:r>
    </w:p>
    <w:p w:rsidR="004571C8" w:rsidRDefault="004D39AC" w:rsidP="002424D6">
      <w:pPr>
        <w:suppressAutoHyphens/>
        <w:ind w:left="120" w:right="283"/>
        <w:jc w:val="both"/>
        <w:rPr>
          <w:rFonts w:ascii="Calibri" w:hAnsi="Calibri"/>
        </w:rPr>
      </w:pPr>
      <w:r w:rsidRPr="001A0D1D">
        <w:rPr>
          <w:rFonts w:ascii="Calibri" w:hAnsi="Calibri"/>
          <w:b/>
          <w:sz w:val="20"/>
          <w:szCs w:val="20"/>
        </w:rPr>
        <w:t>Fuente</w:t>
      </w:r>
      <w:r w:rsidRPr="001A0D1D">
        <w:rPr>
          <w:rFonts w:ascii="Calibri" w:hAnsi="Calibri"/>
          <w:sz w:val="20"/>
          <w:szCs w:val="20"/>
        </w:rPr>
        <w:t xml:space="preserve">: </w:t>
      </w:r>
      <w:r w:rsidR="00951BA6">
        <w:rPr>
          <w:rFonts w:ascii="Calibri" w:hAnsi="Calibri"/>
          <w:sz w:val="20"/>
          <w:szCs w:val="20"/>
        </w:rPr>
        <w:t>Secretaria de Hacienda en base a información provista por las jurisdicciones</w:t>
      </w:r>
    </w:p>
    <w:p w:rsidR="001A2A39" w:rsidRPr="001A0D1D" w:rsidRDefault="001A2A39" w:rsidP="00FC136D">
      <w:pPr>
        <w:suppressAutoHyphens/>
        <w:jc w:val="both"/>
        <w:rPr>
          <w:rFonts w:ascii="Calibri" w:hAnsi="Calibri" w:cs="Arial"/>
        </w:rPr>
      </w:pPr>
    </w:p>
    <w:p w:rsidR="00F666CC" w:rsidRPr="00F23F04" w:rsidRDefault="00F666CC" w:rsidP="00F666CC">
      <w:pPr>
        <w:suppressAutoHyphens/>
        <w:jc w:val="both"/>
        <w:rPr>
          <w:rFonts w:ascii="Calibri" w:hAnsi="Calibri"/>
        </w:rPr>
      </w:pPr>
      <w:r w:rsidRPr="00C60634">
        <w:rPr>
          <w:rFonts w:ascii="Calibri" w:hAnsi="Calibri"/>
        </w:rPr>
        <w:t>Respecto a la dinámica del resto de las finalidades, se destaca que la suba del gasto en Servicios de Seguridad (33,7</w:t>
      </w:r>
      <w:r w:rsidR="000211ED">
        <w:rPr>
          <w:rFonts w:ascii="Calibri" w:hAnsi="Calibri"/>
        </w:rPr>
        <w:t>%</w:t>
      </w:r>
      <w:r w:rsidRPr="00C60634">
        <w:rPr>
          <w:rFonts w:ascii="Calibri" w:hAnsi="Calibri"/>
        </w:rPr>
        <w:t xml:space="preserve">) y </w:t>
      </w:r>
      <w:r>
        <w:rPr>
          <w:rFonts w:ascii="Calibri" w:hAnsi="Calibri"/>
        </w:rPr>
        <w:t xml:space="preserve">en </w:t>
      </w:r>
      <w:r w:rsidRPr="00C60634">
        <w:rPr>
          <w:rFonts w:ascii="Calibri" w:hAnsi="Calibri"/>
        </w:rPr>
        <w:t>Administración Gubernamental (34,1</w:t>
      </w:r>
      <w:r w:rsidR="000211ED">
        <w:rPr>
          <w:rFonts w:ascii="Calibri" w:hAnsi="Calibri"/>
        </w:rPr>
        <w:t>%</w:t>
      </w:r>
      <w:r w:rsidRPr="00C60634">
        <w:rPr>
          <w:rFonts w:ascii="Calibri" w:hAnsi="Calibri"/>
        </w:rPr>
        <w:t>)</w:t>
      </w:r>
      <w:r>
        <w:rPr>
          <w:rFonts w:ascii="Calibri" w:hAnsi="Calibri"/>
        </w:rPr>
        <w:t xml:space="preserve">, </w:t>
      </w:r>
      <w:r w:rsidRPr="00C60634">
        <w:rPr>
          <w:rFonts w:ascii="Calibri" w:hAnsi="Calibri"/>
        </w:rPr>
        <w:t xml:space="preserve">también acompañan en términos </w:t>
      </w:r>
      <w:r w:rsidRPr="00F23F04">
        <w:rPr>
          <w:rFonts w:ascii="Calibri" w:hAnsi="Calibri"/>
        </w:rPr>
        <w:t>generales a las recomposiciones salariales otorgadas al personal de los respectivos escalafones. En el caso de ésta última, también incluye la función relaciones interiores, que representa prácticamente la mitad de dicha finalidad, y cuyo principal componente lo constituyen las transferencias (coparticipación y subsidios) de las provincias a los gobiernos locales.</w:t>
      </w:r>
    </w:p>
    <w:p w:rsidR="00F666CC" w:rsidRPr="00532533" w:rsidRDefault="00F666CC" w:rsidP="00F666CC">
      <w:pPr>
        <w:suppressAutoHyphens/>
        <w:jc w:val="both"/>
        <w:rPr>
          <w:rFonts w:ascii="Calibri" w:hAnsi="Calibri"/>
          <w:highlight w:val="yellow"/>
        </w:rPr>
      </w:pPr>
    </w:p>
    <w:p w:rsidR="00F666CC" w:rsidRPr="001A0D1D" w:rsidRDefault="00F666CC" w:rsidP="00F666CC">
      <w:pPr>
        <w:suppressAutoHyphens/>
        <w:jc w:val="both"/>
        <w:rPr>
          <w:rFonts w:ascii="Calibri" w:hAnsi="Calibri"/>
        </w:rPr>
      </w:pPr>
      <w:r w:rsidRPr="00F23F04">
        <w:rPr>
          <w:rFonts w:ascii="Calibri" w:hAnsi="Calibri"/>
        </w:rPr>
        <w:t>En la finalidad Servicios Económicos, con un incremento de 19,5</w:t>
      </w:r>
      <w:r w:rsidR="000211ED">
        <w:rPr>
          <w:rFonts w:ascii="Calibri" w:hAnsi="Calibri"/>
        </w:rPr>
        <w:t>%</w:t>
      </w:r>
      <w:r w:rsidRPr="00F23F04">
        <w:rPr>
          <w:rFonts w:ascii="Calibri" w:hAnsi="Calibri"/>
        </w:rPr>
        <w:t>, se destacan las funciones Energía, Seguros y Finanzas, Comunicaciones y Transporte. El comportamiento de esta finalidad está parcialmente explicado por la baja ejecución de la obra pública, que como ya se mencionara se vio condicionada a la disponibilidad de transferencias de origen nacional y de recursos del crédito.</w:t>
      </w:r>
    </w:p>
    <w:p w:rsidR="00F666CC" w:rsidRDefault="00F666CC" w:rsidP="00F666CC">
      <w:pPr>
        <w:suppressAutoHyphens/>
        <w:jc w:val="both"/>
        <w:rPr>
          <w:rFonts w:ascii="Calibri" w:hAnsi="Calibri"/>
        </w:rPr>
      </w:pPr>
    </w:p>
    <w:p w:rsidR="00803B0E" w:rsidRPr="001A0D1D" w:rsidRDefault="00803B0E" w:rsidP="00FC136D">
      <w:pPr>
        <w:suppressAutoHyphens/>
        <w:jc w:val="both"/>
        <w:rPr>
          <w:rFonts w:ascii="Calibri" w:hAnsi="Calibri" w:cs="Arial"/>
        </w:rPr>
      </w:pPr>
    </w:p>
    <w:p w:rsidR="00FD6FDC" w:rsidRPr="00C668B6" w:rsidRDefault="00B95BC6" w:rsidP="00C668B6">
      <w:pPr>
        <w:pStyle w:val="Ttulo1"/>
        <w:numPr>
          <w:ilvl w:val="0"/>
          <w:numId w:val="0"/>
        </w:numPr>
        <w:pBdr>
          <w:bottom w:val="single" w:sz="4" w:space="1" w:color="auto"/>
        </w:pBdr>
        <w:suppressAutoHyphens/>
        <w:spacing w:before="0" w:after="0"/>
        <w:rPr>
          <w:rFonts w:ascii="Calibri" w:hAnsi="Calibri" w:cs="Times New Roman"/>
          <w:color w:val="595959"/>
          <w:sz w:val="28"/>
          <w:szCs w:val="28"/>
        </w:rPr>
      </w:pPr>
      <w:bookmarkStart w:id="15" w:name="_Toc502068514"/>
      <w:bookmarkStart w:id="16" w:name="_Toc99450870"/>
      <w:r w:rsidRPr="00C668B6">
        <w:rPr>
          <w:rFonts w:ascii="Calibri" w:hAnsi="Calibri" w:cs="Times New Roman"/>
          <w:color w:val="595959"/>
          <w:sz w:val="28"/>
          <w:szCs w:val="28"/>
        </w:rPr>
        <w:t>6</w:t>
      </w:r>
      <w:r w:rsidR="00FD6FDC" w:rsidRPr="00C668B6">
        <w:rPr>
          <w:rFonts w:ascii="Calibri" w:hAnsi="Calibri" w:cs="Times New Roman"/>
          <w:color w:val="595959"/>
          <w:sz w:val="28"/>
          <w:szCs w:val="28"/>
        </w:rPr>
        <w:t>. EVOLUCION DE LOS PRINCIPALES AGREGADOS FISCALES EN RELACIÓN AL PRODUCTO INTERNO BRUTO</w:t>
      </w:r>
      <w:bookmarkEnd w:id="15"/>
      <w:bookmarkEnd w:id="16"/>
    </w:p>
    <w:p w:rsidR="00FD6FDC" w:rsidRPr="001A0D1D" w:rsidRDefault="00FD6FDC" w:rsidP="00B95BC6">
      <w:pPr>
        <w:pBdr>
          <w:top w:val="single" w:sz="4" w:space="1" w:color="auto"/>
        </w:pBdr>
        <w:suppressAutoHyphens/>
        <w:jc w:val="both"/>
        <w:rPr>
          <w:rFonts w:ascii="Calibri" w:hAnsi="Calibri" w:cs="Arial"/>
        </w:rPr>
      </w:pPr>
    </w:p>
    <w:p w:rsidR="00FD6FDC" w:rsidRPr="00D57FC7" w:rsidRDefault="00FD6FDC" w:rsidP="00FD6FDC">
      <w:pPr>
        <w:suppressAutoHyphens/>
        <w:jc w:val="both"/>
        <w:rPr>
          <w:rFonts w:ascii="Calibri" w:hAnsi="Calibri" w:cs="Arial"/>
        </w:rPr>
      </w:pPr>
      <w:r w:rsidRPr="00D57FC7">
        <w:rPr>
          <w:rFonts w:ascii="Calibri" w:hAnsi="Calibri" w:cs="Arial"/>
        </w:rPr>
        <w:t xml:space="preserve">En este apartado se </w:t>
      </w:r>
      <w:r w:rsidR="00BF634F" w:rsidRPr="00D57FC7">
        <w:rPr>
          <w:rFonts w:ascii="Calibri" w:hAnsi="Calibri" w:cs="Arial"/>
        </w:rPr>
        <w:t>presenta</w:t>
      </w:r>
      <w:r w:rsidRPr="00D57FC7">
        <w:rPr>
          <w:rFonts w:ascii="Calibri" w:hAnsi="Calibri" w:cs="Arial"/>
        </w:rPr>
        <w:t xml:space="preserve"> </w:t>
      </w:r>
      <w:r w:rsidR="00BF634F" w:rsidRPr="00D57FC7">
        <w:rPr>
          <w:rFonts w:ascii="Calibri" w:hAnsi="Calibri" w:cs="Arial"/>
        </w:rPr>
        <w:t xml:space="preserve">con una perspectiva histórica </w:t>
      </w:r>
      <w:r w:rsidRPr="00D57FC7">
        <w:rPr>
          <w:rFonts w:ascii="Calibri" w:hAnsi="Calibri" w:cs="Arial"/>
        </w:rPr>
        <w:t xml:space="preserve">el comportamiento de los principales agregados de la ejecución presupuestaria, a efectos de contextualizar en un período de tiempo más amplio, los resultados analizados en los apartados anteriores. Con tal </w:t>
      </w:r>
      <w:r w:rsidR="00D57FC7" w:rsidRPr="00D57FC7">
        <w:rPr>
          <w:rFonts w:ascii="Calibri" w:hAnsi="Calibri" w:cs="Arial"/>
        </w:rPr>
        <w:t>propósito</w:t>
      </w:r>
      <w:r w:rsidRPr="00D57FC7">
        <w:rPr>
          <w:rFonts w:ascii="Calibri" w:hAnsi="Calibri" w:cs="Arial"/>
        </w:rPr>
        <w:t xml:space="preserve"> se aborda el período 2005/20</w:t>
      </w:r>
      <w:r w:rsidR="00D57FC7" w:rsidRPr="00D57FC7">
        <w:rPr>
          <w:rFonts w:ascii="Calibri" w:hAnsi="Calibri" w:cs="Arial"/>
        </w:rPr>
        <w:t>20</w:t>
      </w:r>
      <w:r w:rsidRPr="00D57FC7">
        <w:rPr>
          <w:rFonts w:ascii="Calibri" w:hAnsi="Calibri" w:cs="Arial"/>
        </w:rPr>
        <w:t>.</w:t>
      </w:r>
    </w:p>
    <w:p w:rsidR="00FD6FDC" w:rsidRPr="00532533" w:rsidRDefault="00FD6FDC" w:rsidP="00FD6FDC">
      <w:pPr>
        <w:suppressAutoHyphens/>
        <w:jc w:val="both"/>
        <w:rPr>
          <w:rFonts w:ascii="Calibri" w:hAnsi="Calibri" w:cs="Arial"/>
          <w:highlight w:val="yellow"/>
        </w:rPr>
      </w:pPr>
    </w:p>
    <w:p w:rsidR="00DA194E" w:rsidRPr="00D57FC7" w:rsidRDefault="00D57FC7" w:rsidP="00FD6FDC">
      <w:pPr>
        <w:suppressAutoHyphens/>
        <w:jc w:val="both"/>
        <w:rPr>
          <w:rFonts w:ascii="Calibri" w:hAnsi="Calibri" w:cs="Arial"/>
        </w:rPr>
      </w:pPr>
      <w:r w:rsidRPr="00D57FC7">
        <w:rPr>
          <w:rFonts w:ascii="Calibri" w:hAnsi="Calibri" w:cs="Arial"/>
        </w:rPr>
        <w:t>C</w:t>
      </w:r>
      <w:r w:rsidR="0072688B" w:rsidRPr="00D57FC7">
        <w:rPr>
          <w:rFonts w:ascii="Calibri" w:hAnsi="Calibri" w:cs="Arial"/>
        </w:rPr>
        <w:t>omo se muestra en el Gráfico 5, e</w:t>
      </w:r>
      <w:r w:rsidR="00FD6FDC" w:rsidRPr="00D57FC7">
        <w:rPr>
          <w:rFonts w:ascii="Calibri" w:hAnsi="Calibri" w:cs="Arial"/>
        </w:rPr>
        <w:t>n el período de referencia tanto los ingresos como las erogaciones del consolidado de Provincias y Ciudad de Buenos Aires se han incrementado paulatinamente</w:t>
      </w:r>
      <w:r w:rsidR="0072688B" w:rsidRPr="00D57FC7">
        <w:rPr>
          <w:rFonts w:ascii="Calibri" w:hAnsi="Calibri" w:cs="Arial"/>
        </w:rPr>
        <w:t>,</w:t>
      </w:r>
      <w:r w:rsidR="00FD6FDC" w:rsidRPr="00D57FC7">
        <w:rPr>
          <w:rFonts w:ascii="Calibri" w:hAnsi="Calibri" w:cs="Arial"/>
        </w:rPr>
        <w:t xml:space="preserve"> llegando a </w:t>
      </w:r>
      <w:r w:rsidR="00985D4E" w:rsidRPr="00D57FC7">
        <w:rPr>
          <w:rFonts w:ascii="Calibri" w:hAnsi="Calibri" w:cs="Arial"/>
        </w:rPr>
        <w:t>alcanzar</w:t>
      </w:r>
      <w:r w:rsidR="00FD6FDC" w:rsidRPr="00D57FC7">
        <w:rPr>
          <w:rFonts w:ascii="Calibri" w:hAnsi="Calibri" w:cs="Arial"/>
        </w:rPr>
        <w:t xml:space="preserve"> un máximo en 201</w:t>
      </w:r>
      <w:r w:rsidR="00342489" w:rsidRPr="00D57FC7">
        <w:rPr>
          <w:rFonts w:ascii="Calibri" w:hAnsi="Calibri" w:cs="Arial"/>
        </w:rPr>
        <w:t>7</w:t>
      </w:r>
      <w:r w:rsidR="00FD6FDC" w:rsidRPr="00D57FC7">
        <w:rPr>
          <w:rFonts w:ascii="Calibri" w:hAnsi="Calibri" w:cs="Arial"/>
        </w:rPr>
        <w:t xml:space="preserve"> de 17,</w:t>
      </w:r>
      <w:r w:rsidR="00B46620" w:rsidRPr="00D57FC7">
        <w:rPr>
          <w:rFonts w:ascii="Calibri" w:hAnsi="Calibri" w:cs="Arial"/>
        </w:rPr>
        <w:t>4</w:t>
      </w:r>
      <w:r w:rsidR="000211ED">
        <w:rPr>
          <w:rFonts w:ascii="Calibri" w:hAnsi="Calibri" w:cs="Arial"/>
        </w:rPr>
        <w:t>%</w:t>
      </w:r>
      <w:r w:rsidR="00C912D9" w:rsidRPr="00D57FC7">
        <w:rPr>
          <w:rFonts w:ascii="Calibri" w:hAnsi="Calibri" w:cs="Arial"/>
        </w:rPr>
        <w:t xml:space="preserve"> del PIB</w:t>
      </w:r>
      <w:r w:rsidR="00985D4E" w:rsidRPr="00D57FC7">
        <w:rPr>
          <w:rFonts w:ascii="Calibri" w:hAnsi="Calibri" w:cs="Arial"/>
        </w:rPr>
        <w:t xml:space="preserve"> </w:t>
      </w:r>
      <w:r w:rsidR="00FD6FDC" w:rsidRPr="00D57FC7">
        <w:rPr>
          <w:rFonts w:ascii="Calibri" w:hAnsi="Calibri" w:cs="Arial"/>
        </w:rPr>
        <w:t>y 18,</w:t>
      </w:r>
      <w:r w:rsidR="00B46620" w:rsidRPr="00D57FC7">
        <w:rPr>
          <w:rFonts w:ascii="Calibri" w:hAnsi="Calibri" w:cs="Arial"/>
        </w:rPr>
        <w:t>3</w:t>
      </w:r>
      <w:r w:rsidR="000211ED">
        <w:rPr>
          <w:rFonts w:ascii="Calibri" w:hAnsi="Calibri" w:cs="Arial"/>
        </w:rPr>
        <w:t>%</w:t>
      </w:r>
      <w:r w:rsidR="00FD6FDC" w:rsidRPr="00D57FC7">
        <w:rPr>
          <w:rFonts w:ascii="Calibri" w:hAnsi="Calibri" w:cs="Arial"/>
        </w:rPr>
        <w:t xml:space="preserve"> del PIB respectivamente</w:t>
      </w:r>
      <w:r w:rsidR="000427DC" w:rsidRPr="00D57FC7">
        <w:rPr>
          <w:rFonts w:ascii="Calibri" w:hAnsi="Calibri" w:cs="Arial"/>
        </w:rPr>
        <w:t xml:space="preserve">. </w:t>
      </w:r>
      <w:r w:rsidR="00054D63" w:rsidRPr="00D57FC7">
        <w:rPr>
          <w:rFonts w:ascii="Calibri" w:hAnsi="Calibri" w:cs="Arial"/>
        </w:rPr>
        <w:t xml:space="preserve">En 2018 se revierte esta tendencia de modo que los ingresos y los gastos totales </w:t>
      </w:r>
      <w:r w:rsidR="00DA194E" w:rsidRPr="00D57FC7">
        <w:rPr>
          <w:rFonts w:ascii="Calibri" w:hAnsi="Calibri" w:cs="Arial"/>
        </w:rPr>
        <w:t>medidos en términos del</w:t>
      </w:r>
      <w:r w:rsidR="00CB387D" w:rsidRPr="00D57FC7">
        <w:rPr>
          <w:rFonts w:ascii="Calibri" w:hAnsi="Calibri" w:cs="Arial"/>
        </w:rPr>
        <w:t xml:space="preserve"> PIB ha</w:t>
      </w:r>
      <w:r w:rsidR="00DA194E" w:rsidRPr="00D57FC7">
        <w:rPr>
          <w:rFonts w:ascii="Calibri" w:hAnsi="Calibri" w:cs="Arial"/>
        </w:rPr>
        <w:t>n</w:t>
      </w:r>
      <w:r w:rsidR="00CB387D" w:rsidRPr="00D57FC7">
        <w:rPr>
          <w:rFonts w:ascii="Calibri" w:hAnsi="Calibri" w:cs="Arial"/>
        </w:rPr>
        <w:t xml:space="preserve"> disminuido a 1</w:t>
      </w:r>
      <w:r w:rsidR="00964F09" w:rsidRPr="00D57FC7">
        <w:rPr>
          <w:rFonts w:ascii="Calibri" w:hAnsi="Calibri" w:cs="Arial"/>
        </w:rPr>
        <w:t>6,5</w:t>
      </w:r>
      <w:r w:rsidR="000211ED">
        <w:rPr>
          <w:rFonts w:ascii="Calibri" w:hAnsi="Calibri" w:cs="Arial"/>
        </w:rPr>
        <w:t>%</w:t>
      </w:r>
      <w:r w:rsidR="005704AA" w:rsidRPr="00D57FC7">
        <w:rPr>
          <w:rFonts w:ascii="Calibri" w:hAnsi="Calibri" w:cs="Arial"/>
        </w:rPr>
        <w:t xml:space="preserve"> del PIB</w:t>
      </w:r>
      <w:r w:rsidR="00054D63" w:rsidRPr="00D57FC7">
        <w:rPr>
          <w:rFonts w:ascii="Calibri" w:hAnsi="Calibri" w:cs="Arial"/>
        </w:rPr>
        <w:t xml:space="preserve"> y 17,</w:t>
      </w:r>
      <w:r w:rsidR="00964F09" w:rsidRPr="00D57FC7">
        <w:rPr>
          <w:rFonts w:ascii="Calibri" w:hAnsi="Calibri" w:cs="Arial"/>
        </w:rPr>
        <w:t>1</w:t>
      </w:r>
      <w:r w:rsidR="000211ED">
        <w:rPr>
          <w:rFonts w:ascii="Calibri" w:hAnsi="Calibri" w:cs="Arial"/>
        </w:rPr>
        <w:t>%</w:t>
      </w:r>
      <w:r w:rsidR="005704AA" w:rsidRPr="00D57FC7">
        <w:rPr>
          <w:rFonts w:ascii="Calibri" w:hAnsi="Calibri" w:cs="Arial"/>
        </w:rPr>
        <w:t xml:space="preserve"> del PIB</w:t>
      </w:r>
      <w:r w:rsidR="00054D63" w:rsidRPr="00D57FC7">
        <w:rPr>
          <w:rFonts w:ascii="Calibri" w:hAnsi="Calibri" w:cs="Arial"/>
        </w:rPr>
        <w:t xml:space="preserve"> </w:t>
      </w:r>
      <w:r w:rsidR="00964F09" w:rsidRPr="00D57FC7">
        <w:rPr>
          <w:rFonts w:ascii="Calibri" w:hAnsi="Calibri" w:cs="Arial"/>
        </w:rPr>
        <w:t xml:space="preserve">en 2019, </w:t>
      </w:r>
      <w:r w:rsidR="00054D63" w:rsidRPr="00D57FC7">
        <w:rPr>
          <w:rFonts w:ascii="Calibri" w:hAnsi="Calibri" w:cs="Arial"/>
        </w:rPr>
        <w:t>respectivamente.</w:t>
      </w:r>
      <w:r w:rsidRPr="00D57FC7">
        <w:rPr>
          <w:rFonts w:ascii="Calibri" w:hAnsi="Calibri" w:cs="Arial"/>
        </w:rPr>
        <w:t xml:space="preserve"> En 2020,</w:t>
      </w:r>
      <w:r w:rsidR="00FF4647">
        <w:rPr>
          <w:rFonts w:ascii="Calibri" w:hAnsi="Calibri" w:cs="Arial"/>
        </w:rPr>
        <w:t xml:space="preserve"> </w:t>
      </w:r>
      <w:r w:rsidRPr="00D57FC7">
        <w:rPr>
          <w:rFonts w:ascii="Calibri" w:hAnsi="Calibri" w:cs="Arial"/>
        </w:rPr>
        <w:t>esta tendencia se revierte y ambas magnitudes se recuperan, lo que puede entenderse en el marco de un contexto económico recesivo, y lo deseable del carácter contracíclico del gasto público.</w:t>
      </w:r>
    </w:p>
    <w:p w:rsidR="0072688B" w:rsidRPr="00D57FC7" w:rsidRDefault="0072688B" w:rsidP="00FD6FDC">
      <w:pPr>
        <w:suppressAutoHyphens/>
        <w:jc w:val="both"/>
        <w:rPr>
          <w:rFonts w:ascii="Calibri" w:hAnsi="Calibri" w:cs="Arial"/>
        </w:rPr>
      </w:pPr>
    </w:p>
    <w:p w:rsidR="00DA194E" w:rsidRPr="00F73BE2" w:rsidRDefault="002542DD" w:rsidP="002542DD">
      <w:pPr>
        <w:suppressAutoHyphens/>
        <w:jc w:val="both"/>
        <w:rPr>
          <w:rFonts w:ascii="Calibri" w:hAnsi="Calibri" w:cs="Arial"/>
        </w:rPr>
      </w:pPr>
      <w:r w:rsidRPr="00F73BE2">
        <w:rPr>
          <w:rFonts w:ascii="Calibri" w:hAnsi="Calibri" w:cs="Arial"/>
        </w:rPr>
        <w:t xml:space="preserve">Si se observa exclusivamente el comportamiento de los recursos provinciales </w:t>
      </w:r>
      <w:r w:rsidR="00964F09" w:rsidRPr="00F73BE2">
        <w:rPr>
          <w:rFonts w:ascii="Calibri" w:hAnsi="Calibri" w:cs="Arial"/>
        </w:rPr>
        <w:t>conforme su definición para</w:t>
      </w:r>
      <w:r w:rsidRPr="00F73BE2">
        <w:rPr>
          <w:rFonts w:ascii="Calibri" w:hAnsi="Calibri" w:cs="Arial"/>
        </w:rPr>
        <w:t xml:space="preserve"> el indicador de autofinanciamiento (ver pie de página número 2), se nota un constante aumento </w:t>
      </w:r>
      <w:r w:rsidR="00BF634F" w:rsidRPr="00F73BE2">
        <w:rPr>
          <w:rFonts w:ascii="Calibri" w:hAnsi="Calibri" w:cs="Arial"/>
        </w:rPr>
        <w:t>a lo largo d</w:t>
      </w:r>
      <w:r w:rsidRPr="00F73BE2">
        <w:rPr>
          <w:rFonts w:ascii="Calibri" w:hAnsi="Calibri" w:cs="Arial"/>
        </w:rPr>
        <w:t>e</w:t>
      </w:r>
      <w:r w:rsidR="00BF634F" w:rsidRPr="00F73BE2">
        <w:rPr>
          <w:rFonts w:ascii="Calibri" w:hAnsi="Calibri" w:cs="Arial"/>
        </w:rPr>
        <w:t xml:space="preserve"> este</w:t>
      </w:r>
      <w:r w:rsidRPr="00F73BE2">
        <w:rPr>
          <w:rFonts w:ascii="Calibri" w:hAnsi="Calibri" w:cs="Arial"/>
        </w:rPr>
        <w:t xml:space="preserve"> período, ya que pasaron de 6,</w:t>
      </w:r>
      <w:r w:rsidR="00BC312A" w:rsidRPr="00F73BE2">
        <w:rPr>
          <w:rFonts w:ascii="Calibri" w:hAnsi="Calibri" w:cs="Arial"/>
        </w:rPr>
        <w:t>2</w:t>
      </w:r>
      <w:r w:rsidR="000211ED">
        <w:rPr>
          <w:rFonts w:ascii="Calibri" w:hAnsi="Calibri" w:cs="Arial"/>
        </w:rPr>
        <w:t>%</w:t>
      </w:r>
      <w:r w:rsidRPr="00F73BE2">
        <w:rPr>
          <w:rFonts w:ascii="Calibri" w:hAnsi="Calibri" w:cs="Arial"/>
        </w:rPr>
        <w:t xml:space="preserve"> del PIB en 2005 a 8,</w:t>
      </w:r>
      <w:r w:rsidR="00B46620" w:rsidRPr="00F73BE2">
        <w:rPr>
          <w:rFonts w:ascii="Calibri" w:hAnsi="Calibri" w:cs="Arial"/>
        </w:rPr>
        <w:t>5</w:t>
      </w:r>
      <w:r w:rsidR="000211ED">
        <w:rPr>
          <w:rFonts w:ascii="Calibri" w:hAnsi="Calibri" w:cs="Arial"/>
        </w:rPr>
        <w:t>%</w:t>
      </w:r>
      <w:r w:rsidRPr="00F73BE2">
        <w:rPr>
          <w:rFonts w:ascii="Calibri" w:hAnsi="Calibri" w:cs="Arial"/>
        </w:rPr>
        <w:t xml:space="preserve"> del PIB en 2017. Este rasgo </w:t>
      </w:r>
      <w:r w:rsidR="00DA194E" w:rsidRPr="00F73BE2">
        <w:rPr>
          <w:rFonts w:ascii="Calibri" w:hAnsi="Calibri" w:cs="Arial"/>
        </w:rPr>
        <w:t>e</w:t>
      </w:r>
      <w:r w:rsidRPr="00F73BE2">
        <w:rPr>
          <w:rFonts w:ascii="Calibri" w:hAnsi="Calibri" w:cs="Arial"/>
        </w:rPr>
        <w:t>s principalmente explicado por el incremento de la presión fiscal provincial, ya que la recaudación de tributos provinciales pasó de 3,</w:t>
      </w:r>
      <w:r w:rsidR="00BC312A" w:rsidRPr="00F73BE2">
        <w:rPr>
          <w:rFonts w:ascii="Calibri" w:hAnsi="Calibri" w:cs="Arial"/>
        </w:rPr>
        <w:t>8</w:t>
      </w:r>
      <w:r w:rsidR="000211ED">
        <w:rPr>
          <w:rFonts w:ascii="Calibri" w:hAnsi="Calibri" w:cs="Arial"/>
        </w:rPr>
        <w:t>%</w:t>
      </w:r>
      <w:r w:rsidRPr="00F73BE2">
        <w:rPr>
          <w:rFonts w:ascii="Calibri" w:hAnsi="Calibri" w:cs="Arial"/>
        </w:rPr>
        <w:t xml:space="preserve"> del PIB en 2005 a 5,</w:t>
      </w:r>
      <w:r w:rsidR="00BC312A" w:rsidRPr="00F73BE2">
        <w:rPr>
          <w:rFonts w:ascii="Calibri" w:hAnsi="Calibri" w:cs="Arial"/>
        </w:rPr>
        <w:t>5</w:t>
      </w:r>
      <w:r w:rsidR="000211ED">
        <w:rPr>
          <w:rFonts w:ascii="Calibri" w:hAnsi="Calibri" w:cs="Arial"/>
        </w:rPr>
        <w:t>%</w:t>
      </w:r>
      <w:r w:rsidRPr="00F73BE2">
        <w:rPr>
          <w:rFonts w:ascii="Calibri" w:hAnsi="Calibri" w:cs="Arial"/>
        </w:rPr>
        <w:t xml:space="preserve"> del PIB en 2017.</w:t>
      </w:r>
      <w:r w:rsidR="00BF634F" w:rsidRPr="00F73BE2">
        <w:rPr>
          <w:rFonts w:ascii="Calibri" w:hAnsi="Calibri" w:cs="Arial"/>
        </w:rPr>
        <w:t xml:space="preserve"> No obstante, </w:t>
      </w:r>
      <w:r w:rsidR="00BC312A" w:rsidRPr="00F73BE2">
        <w:rPr>
          <w:rFonts w:ascii="Calibri" w:hAnsi="Calibri" w:cs="Arial"/>
        </w:rPr>
        <w:t>a partir de</w:t>
      </w:r>
      <w:r w:rsidR="00BF634F" w:rsidRPr="00F73BE2">
        <w:rPr>
          <w:rFonts w:ascii="Calibri" w:hAnsi="Calibri" w:cs="Arial"/>
        </w:rPr>
        <w:t xml:space="preserve"> 2018 se observa una desaceleración en la dinámica de la recaudación propia, </w:t>
      </w:r>
      <w:r w:rsidR="00BC312A" w:rsidRPr="00F73BE2">
        <w:rPr>
          <w:rFonts w:ascii="Calibri" w:hAnsi="Calibri" w:cs="Arial"/>
        </w:rPr>
        <w:t>hasta</w:t>
      </w:r>
      <w:r w:rsidR="00BF634F" w:rsidRPr="00F73BE2">
        <w:rPr>
          <w:rFonts w:ascii="Calibri" w:hAnsi="Calibri" w:cs="Arial"/>
        </w:rPr>
        <w:t xml:space="preserve"> </w:t>
      </w:r>
      <w:r w:rsidR="00DA194E" w:rsidRPr="00F73BE2">
        <w:rPr>
          <w:rFonts w:ascii="Calibri" w:hAnsi="Calibri" w:cs="Arial"/>
        </w:rPr>
        <w:t>alcanza</w:t>
      </w:r>
      <w:r w:rsidR="00BC312A" w:rsidRPr="00F73BE2">
        <w:rPr>
          <w:rFonts w:ascii="Calibri" w:hAnsi="Calibri" w:cs="Arial"/>
        </w:rPr>
        <w:t>r</w:t>
      </w:r>
      <w:r w:rsidR="00DA194E" w:rsidRPr="00F73BE2">
        <w:rPr>
          <w:rFonts w:ascii="Calibri" w:hAnsi="Calibri" w:cs="Arial"/>
        </w:rPr>
        <w:t xml:space="preserve"> un </w:t>
      </w:r>
      <w:r w:rsidR="00BC312A" w:rsidRPr="00F73BE2">
        <w:rPr>
          <w:rFonts w:ascii="Calibri" w:hAnsi="Calibri" w:cs="Arial"/>
        </w:rPr>
        <w:t>producido</w:t>
      </w:r>
      <w:r w:rsidR="00DA194E" w:rsidRPr="00F73BE2">
        <w:rPr>
          <w:rFonts w:ascii="Calibri" w:hAnsi="Calibri" w:cs="Arial"/>
        </w:rPr>
        <w:t xml:space="preserve"> equivalente a </w:t>
      </w:r>
      <w:r w:rsidR="00BC312A" w:rsidRPr="00F73BE2">
        <w:rPr>
          <w:rFonts w:ascii="Calibri" w:hAnsi="Calibri" w:cs="Arial"/>
        </w:rPr>
        <w:t>4,</w:t>
      </w:r>
      <w:r w:rsidR="00FF4647" w:rsidRPr="00F73BE2">
        <w:rPr>
          <w:rFonts w:ascii="Calibri" w:hAnsi="Calibri" w:cs="Arial"/>
        </w:rPr>
        <w:t>78</w:t>
      </w:r>
      <w:r w:rsidR="000211ED">
        <w:rPr>
          <w:rFonts w:ascii="Calibri" w:hAnsi="Calibri" w:cs="Arial"/>
        </w:rPr>
        <w:t>%</w:t>
      </w:r>
      <w:r w:rsidR="00DA194E" w:rsidRPr="00F73BE2">
        <w:rPr>
          <w:rFonts w:ascii="Calibri" w:hAnsi="Calibri" w:cs="Arial"/>
        </w:rPr>
        <w:t xml:space="preserve"> del PIB</w:t>
      </w:r>
      <w:r w:rsidR="00BC312A" w:rsidRPr="00F73BE2">
        <w:rPr>
          <w:rFonts w:ascii="Calibri" w:hAnsi="Calibri" w:cs="Arial"/>
        </w:rPr>
        <w:t xml:space="preserve"> en 2019</w:t>
      </w:r>
      <w:r w:rsidR="00DA194E" w:rsidRPr="00F73BE2">
        <w:rPr>
          <w:rFonts w:ascii="Calibri" w:hAnsi="Calibri" w:cs="Arial"/>
        </w:rPr>
        <w:t xml:space="preserve">, lo cual </w:t>
      </w:r>
      <w:r w:rsidR="00BC312A" w:rsidRPr="00F73BE2">
        <w:rPr>
          <w:rFonts w:ascii="Calibri" w:hAnsi="Calibri" w:cs="Arial"/>
        </w:rPr>
        <w:t xml:space="preserve">puede interpretarse </w:t>
      </w:r>
      <w:r w:rsidR="00B46620" w:rsidRPr="00F73BE2">
        <w:rPr>
          <w:rFonts w:ascii="Calibri" w:hAnsi="Calibri" w:cs="Arial"/>
        </w:rPr>
        <w:t>en el contexto</w:t>
      </w:r>
      <w:r w:rsidR="00BC312A" w:rsidRPr="00F73BE2">
        <w:rPr>
          <w:rFonts w:ascii="Calibri" w:hAnsi="Calibri" w:cs="Arial"/>
        </w:rPr>
        <w:t xml:space="preserve"> de</w:t>
      </w:r>
      <w:r w:rsidR="00DA194E" w:rsidRPr="00F73BE2">
        <w:rPr>
          <w:rFonts w:ascii="Calibri" w:hAnsi="Calibri" w:cs="Arial"/>
        </w:rPr>
        <w:t xml:space="preserve"> la implementación de las medidas en materia de imposición tributaria provincial propiciadas </w:t>
      </w:r>
      <w:r w:rsidR="00FF4647" w:rsidRPr="00F73BE2">
        <w:rPr>
          <w:rFonts w:ascii="Calibri" w:hAnsi="Calibri" w:cs="Arial"/>
        </w:rPr>
        <w:t xml:space="preserve">por </w:t>
      </w:r>
      <w:r w:rsidR="00DA194E" w:rsidRPr="00F73BE2">
        <w:rPr>
          <w:rFonts w:ascii="Calibri" w:hAnsi="Calibri" w:cs="Arial"/>
        </w:rPr>
        <w:t xml:space="preserve">el Consenso </w:t>
      </w:r>
      <w:r w:rsidR="005704AA" w:rsidRPr="00F73BE2">
        <w:rPr>
          <w:rFonts w:ascii="Calibri" w:hAnsi="Calibri" w:cs="Arial"/>
        </w:rPr>
        <w:t>Fiscal</w:t>
      </w:r>
      <w:r w:rsidR="00BC312A" w:rsidRPr="00F73BE2">
        <w:rPr>
          <w:rFonts w:ascii="Calibri" w:hAnsi="Calibri" w:cs="Arial"/>
        </w:rPr>
        <w:t xml:space="preserve"> de</w:t>
      </w:r>
      <w:r w:rsidR="005704AA" w:rsidRPr="00F73BE2">
        <w:rPr>
          <w:rFonts w:ascii="Calibri" w:hAnsi="Calibri" w:cs="Arial"/>
        </w:rPr>
        <w:t xml:space="preserve"> </w:t>
      </w:r>
      <w:r w:rsidR="00DA194E" w:rsidRPr="00F73BE2">
        <w:rPr>
          <w:rFonts w:ascii="Calibri" w:hAnsi="Calibri" w:cs="Arial"/>
        </w:rPr>
        <w:t>2017.</w:t>
      </w:r>
      <w:r w:rsidR="00FF4647" w:rsidRPr="00F73BE2">
        <w:rPr>
          <w:rFonts w:ascii="Calibri" w:hAnsi="Calibri" w:cs="Arial"/>
        </w:rPr>
        <w:t xml:space="preserve"> E</w:t>
      </w:r>
      <w:r w:rsidR="00F73BE2" w:rsidRPr="00F73BE2">
        <w:rPr>
          <w:rFonts w:ascii="Calibri" w:hAnsi="Calibri" w:cs="Arial"/>
        </w:rPr>
        <w:t>n 2020, mediando la suspensión de dichas medidas</w:t>
      </w:r>
      <w:r w:rsidR="00FF4647" w:rsidRPr="00F73BE2">
        <w:rPr>
          <w:rFonts w:ascii="Calibri" w:hAnsi="Calibri" w:cs="Arial"/>
        </w:rPr>
        <w:t>, esta relación se incrementa ligeramente a 4,98</w:t>
      </w:r>
      <w:r w:rsidR="000211ED">
        <w:rPr>
          <w:rFonts w:ascii="Calibri" w:hAnsi="Calibri" w:cs="Arial"/>
        </w:rPr>
        <w:t>%</w:t>
      </w:r>
      <w:r w:rsidR="00FF4647" w:rsidRPr="00F73BE2">
        <w:rPr>
          <w:rFonts w:ascii="Calibri" w:hAnsi="Calibri" w:cs="Arial"/>
        </w:rPr>
        <w:t xml:space="preserve">, lo que contrasta con </w:t>
      </w:r>
      <w:r w:rsidR="00F73BE2" w:rsidRPr="00F73BE2">
        <w:rPr>
          <w:rFonts w:ascii="Calibri" w:hAnsi="Calibri" w:cs="Arial"/>
        </w:rPr>
        <w:t>la razón del total de recursos provinciales respecto del PIB, que continuó cayendo hasta 7,8</w:t>
      </w:r>
      <w:r w:rsidR="000211ED">
        <w:rPr>
          <w:rFonts w:ascii="Calibri" w:hAnsi="Calibri" w:cs="Arial"/>
        </w:rPr>
        <w:t>%</w:t>
      </w:r>
      <w:r w:rsidR="00FF4647" w:rsidRPr="00F73BE2">
        <w:rPr>
          <w:rFonts w:ascii="Calibri" w:hAnsi="Calibri" w:cs="Arial"/>
        </w:rPr>
        <w:t>.</w:t>
      </w:r>
    </w:p>
    <w:p w:rsidR="00DA194E" w:rsidRPr="00F73BE2" w:rsidRDefault="00DA194E" w:rsidP="002542DD">
      <w:pPr>
        <w:suppressAutoHyphens/>
        <w:jc w:val="both"/>
        <w:rPr>
          <w:rFonts w:ascii="Calibri" w:hAnsi="Calibri" w:cs="Arial"/>
        </w:rPr>
      </w:pPr>
    </w:p>
    <w:p w:rsidR="002542DD" w:rsidRPr="00F73BE2" w:rsidRDefault="00F73BE2" w:rsidP="002542DD">
      <w:pPr>
        <w:suppressAutoHyphens/>
        <w:jc w:val="both"/>
        <w:rPr>
          <w:rFonts w:ascii="Calibri" w:hAnsi="Calibri" w:cs="Arial"/>
        </w:rPr>
      </w:pPr>
      <w:r w:rsidRPr="00F73BE2">
        <w:rPr>
          <w:rFonts w:ascii="Calibri" w:hAnsi="Calibri" w:cs="Arial"/>
        </w:rPr>
        <w:t>También</w:t>
      </w:r>
      <w:r w:rsidR="002542DD" w:rsidRPr="00F73BE2">
        <w:rPr>
          <w:rFonts w:ascii="Calibri" w:hAnsi="Calibri" w:cs="Arial"/>
        </w:rPr>
        <w:t xml:space="preserve"> se puede observar que la evolución de los recursos de origen nacional sobre el PIB es positiva, debido a los cambios </w:t>
      </w:r>
      <w:r w:rsidR="00DA194E" w:rsidRPr="00F73BE2">
        <w:rPr>
          <w:rFonts w:ascii="Calibri" w:hAnsi="Calibri" w:cs="Arial"/>
        </w:rPr>
        <w:t>en la d</w:t>
      </w:r>
      <w:r w:rsidR="002542DD" w:rsidRPr="00F73BE2">
        <w:rPr>
          <w:rFonts w:ascii="Calibri" w:hAnsi="Calibri" w:cs="Arial"/>
        </w:rPr>
        <w:t>istribuc</w:t>
      </w:r>
      <w:r w:rsidR="000427DC" w:rsidRPr="00F73BE2">
        <w:rPr>
          <w:rFonts w:ascii="Calibri" w:hAnsi="Calibri" w:cs="Arial"/>
        </w:rPr>
        <w:t xml:space="preserve">ión </w:t>
      </w:r>
      <w:r w:rsidR="00DA194E" w:rsidRPr="00F73BE2">
        <w:rPr>
          <w:rFonts w:ascii="Calibri" w:hAnsi="Calibri" w:cs="Arial"/>
        </w:rPr>
        <w:t xml:space="preserve">de </w:t>
      </w:r>
      <w:r w:rsidRPr="00F73BE2">
        <w:rPr>
          <w:rFonts w:ascii="Calibri" w:hAnsi="Calibri" w:cs="Arial"/>
        </w:rPr>
        <w:t>dichos</w:t>
      </w:r>
      <w:r w:rsidR="00DA194E" w:rsidRPr="00F73BE2">
        <w:rPr>
          <w:rFonts w:ascii="Calibri" w:hAnsi="Calibri" w:cs="Arial"/>
        </w:rPr>
        <w:t xml:space="preserve"> ingresos que favoreció a las P</w:t>
      </w:r>
      <w:r w:rsidR="002542DD" w:rsidRPr="00F73BE2">
        <w:rPr>
          <w:rFonts w:ascii="Calibri" w:hAnsi="Calibri" w:cs="Arial"/>
        </w:rPr>
        <w:t xml:space="preserve">rovincias </w:t>
      </w:r>
      <w:r w:rsidR="00DA194E" w:rsidRPr="00F73BE2">
        <w:rPr>
          <w:rFonts w:ascii="Calibri" w:hAnsi="Calibri" w:cs="Arial"/>
        </w:rPr>
        <w:t>–y</w:t>
      </w:r>
      <w:r w:rsidR="000427DC" w:rsidRPr="00F73BE2">
        <w:rPr>
          <w:rFonts w:ascii="Calibri" w:hAnsi="Calibri" w:cs="Arial"/>
        </w:rPr>
        <w:t>a</w:t>
      </w:r>
      <w:r w:rsidR="00DA194E" w:rsidRPr="00F73BE2">
        <w:rPr>
          <w:rFonts w:ascii="Calibri" w:hAnsi="Calibri" w:cs="Arial"/>
        </w:rPr>
        <w:t xml:space="preserve"> </w:t>
      </w:r>
      <w:r w:rsidR="002542DD" w:rsidRPr="00F73BE2">
        <w:rPr>
          <w:rFonts w:ascii="Calibri" w:hAnsi="Calibri" w:cs="Arial"/>
        </w:rPr>
        <w:t>comenta</w:t>
      </w:r>
      <w:r w:rsidR="000427DC" w:rsidRPr="00F73BE2">
        <w:rPr>
          <w:rFonts w:ascii="Calibri" w:hAnsi="Calibri" w:cs="Arial"/>
        </w:rPr>
        <w:t>das</w:t>
      </w:r>
      <w:r w:rsidR="002542DD" w:rsidRPr="00F73BE2">
        <w:rPr>
          <w:rFonts w:ascii="Calibri" w:hAnsi="Calibri" w:cs="Arial"/>
        </w:rPr>
        <w:t xml:space="preserve"> en el apartado III.2- y pese a las reformas tendientes a reducir la presión tributaria de los impuestos nacionales</w:t>
      </w:r>
      <w:r w:rsidRPr="00F73BE2">
        <w:rPr>
          <w:rFonts w:ascii="Calibri" w:hAnsi="Calibri" w:cs="Arial"/>
        </w:rPr>
        <w:t>, vigentes</w:t>
      </w:r>
      <w:r w:rsidR="002542DD" w:rsidRPr="00F73BE2">
        <w:rPr>
          <w:rFonts w:ascii="Calibri" w:hAnsi="Calibri" w:cs="Arial"/>
        </w:rPr>
        <w:t xml:space="preserve"> </w:t>
      </w:r>
      <w:r w:rsidR="00F505F2" w:rsidRPr="00F73BE2">
        <w:rPr>
          <w:rFonts w:ascii="Calibri" w:hAnsi="Calibri" w:cs="Arial"/>
        </w:rPr>
        <w:t>entre 2016 y 201</w:t>
      </w:r>
      <w:r w:rsidR="00BC312A" w:rsidRPr="00F73BE2">
        <w:rPr>
          <w:rFonts w:ascii="Calibri" w:hAnsi="Calibri" w:cs="Arial"/>
        </w:rPr>
        <w:t>9</w:t>
      </w:r>
      <w:r w:rsidRPr="00F73BE2">
        <w:rPr>
          <w:rFonts w:ascii="Calibri" w:hAnsi="Calibri" w:cs="Arial"/>
        </w:rPr>
        <w:t>. En este período</w:t>
      </w:r>
      <w:r w:rsidR="00F505F2" w:rsidRPr="00F73BE2">
        <w:rPr>
          <w:rFonts w:ascii="Calibri" w:hAnsi="Calibri" w:cs="Arial"/>
        </w:rPr>
        <w:t xml:space="preserve"> los Recursos de Origen Nacional pasaron de </w:t>
      </w:r>
      <w:r w:rsidR="00B46620" w:rsidRPr="00F73BE2">
        <w:rPr>
          <w:rFonts w:ascii="Calibri" w:hAnsi="Calibri" w:cs="Arial"/>
        </w:rPr>
        <w:t>6,8</w:t>
      </w:r>
      <w:r w:rsidR="000211ED">
        <w:rPr>
          <w:rFonts w:ascii="Calibri" w:hAnsi="Calibri" w:cs="Arial"/>
        </w:rPr>
        <w:t>%</w:t>
      </w:r>
      <w:r w:rsidR="00DA194E" w:rsidRPr="00F73BE2">
        <w:rPr>
          <w:rFonts w:ascii="Calibri" w:hAnsi="Calibri" w:cs="Arial"/>
        </w:rPr>
        <w:t xml:space="preserve"> del PIB</w:t>
      </w:r>
      <w:r w:rsidR="00F505F2" w:rsidRPr="00F73BE2">
        <w:rPr>
          <w:rFonts w:ascii="Calibri" w:hAnsi="Calibri" w:cs="Arial"/>
        </w:rPr>
        <w:t xml:space="preserve"> a 7,</w:t>
      </w:r>
      <w:r w:rsidRPr="00F73BE2">
        <w:rPr>
          <w:rFonts w:ascii="Calibri" w:hAnsi="Calibri" w:cs="Arial"/>
        </w:rPr>
        <w:t>5</w:t>
      </w:r>
      <w:r w:rsidR="000211ED">
        <w:rPr>
          <w:rFonts w:ascii="Calibri" w:hAnsi="Calibri" w:cs="Arial"/>
        </w:rPr>
        <w:t>%</w:t>
      </w:r>
      <w:r w:rsidR="00F505F2" w:rsidRPr="00F73BE2">
        <w:rPr>
          <w:rFonts w:ascii="Calibri" w:hAnsi="Calibri" w:cs="Arial"/>
        </w:rPr>
        <w:t xml:space="preserve"> del PIB</w:t>
      </w:r>
      <w:r w:rsidRPr="00F73BE2">
        <w:rPr>
          <w:rFonts w:ascii="Calibri" w:hAnsi="Calibri" w:cs="Arial"/>
        </w:rPr>
        <w:t>, alcanzando en 2020 a 8,2</w:t>
      </w:r>
      <w:r w:rsidR="000211ED">
        <w:rPr>
          <w:rFonts w:ascii="Calibri" w:hAnsi="Calibri" w:cs="Arial"/>
        </w:rPr>
        <w:t>%</w:t>
      </w:r>
      <w:r w:rsidRPr="00F73BE2">
        <w:rPr>
          <w:rFonts w:ascii="Calibri" w:hAnsi="Calibri" w:cs="Arial"/>
        </w:rPr>
        <w:t xml:space="preserve"> del PIB, en este caso influido también por la </w:t>
      </w:r>
      <w:r>
        <w:rPr>
          <w:rFonts w:ascii="Calibri" w:hAnsi="Calibri" w:cs="Arial"/>
        </w:rPr>
        <w:t xml:space="preserve">mayor </w:t>
      </w:r>
      <w:r w:rsidRPr="00F73BE2">
        <w:rPr>
          <w:rFonts w:ascii="Calibri" w:hAnsi="Calibri" w:cs="Arial"/>
        </w:rPr>
        <w:t xml:space="preserve">caída </w:t>
      </w:r>
      <w:r>
        <w:rPr>
          <w:rFonts w:ascii="Calibri" w:hAnsi="Calibri" w:cs="Arial"/>
        </w:rPr>
        <w:t xml:space="preserve">relativa </w:t>
      </w:r>
      <w:r w:rsidRPr="00F73BE2">
        <w:rPr>
          <w:rFonts w:ascii="Calibri" w:hAnsi="Calibri" w:cs="Arial"/>
        </w:rPr>
        <w:t>del producto</w:t>
      </w:r>
      <w:r w:rsidR="00F505F2" w:rsidRPr="00F73BE2">
        <w:rPr>
          <w:rFonts w:ascii="Calibri" w:hAnsi="Calibri" w:cs="Arial"/>
        </w:rPr>
        <w:t>.</w:t>
      </w:r>
    </w:p>
    <w:p w:rsidR="0072688B" w:rsidRPr="00532533" w:rsidRDefault="0072688B" w:rsidP="0072688B">
      <w:pPr>
        <w:suppressAutoHyphens/>
        <w:jc w:val="both"/>
        <w:rPr>
          <w:rFonts w:ascii="Calibri" w:hAnsi="Calibri" w:cs="Arial"/>
          <w:highlight w:val="yellow"/>
        </w:rPr>
      </w:pPr>
    </w:p>
    <w:p w:rsidR="00091876" w:rsidRPr="00B615AD" w:rsidRDefault="00091876" w:rsidP="00091876">
      <w:pPr>
        <w:suppressAutoHyphens/>
        <w:jc w:val="both"/>
        <w:rPr>
          <w:rFonts w:ascii="Calibri" w:hAnsi="Calibri" w:cs="Arial"/>
        </w:rPr>
      </w:pPr>
      <w:r w:rsidRPr="00B615AD">
        <w:rPr>
          <w:rFonts w:ascii="Calibri" w:hAnsi="Calibri" w:cs="Arial"/>
        </w:rPr>
        <w:t>En lo que refiere a los egresos cabe destacar que la reducción observada entre 2017 y 201</w:t>
      </w:r>
      <w:r w:rsidR="00BC312A" w:rsidRPr="00B615AD">
        <w:rPr>
          <w:rFonts w:ascii="Calibri" w:hAnsi="Calibri" w:cs="Arial"/>
        </w:rPr>
        <w:t>9</w:t>
      </w:r>
      <w:r w:rsidRPr="00B615AD">
        <w:rPr>
          <w:rFonts w:ascii="Calibri" w:hAnsi="Calibri" w:cs="Arial"/>
        </w:rPr>
        <w:t xml:space="preserve"> fue de </w:t>
      </w:r>
      <w:r w:rsidR="00F73BE2" w:rsidRPr="00B615AD">
        <w:rPr>
          <w:rFonts w:ascii="Calibri" w:hAnsi="Calibri" w:cs="Arial"/>
        </w:rPr>
        <w:t>1,4</w:t>
      </w:r>
      <w:r w:rsidR="00BC312A" w:rsidRPr="00B615AD">
        <w:rPr>
          <w:rFonts w:ascii="Calibri" w:hAnsi="Calibri" w:cs="Arial"/>
        </w:rPr>
        <w:t xml:space="preserve"> puntos</w:t>
      </w:r>
      <w:r w:rsidRPr="00B615AD">
        <w:rPr>
          <w:rFonts w:ascii="Calibri" w:hAnsi="Calibri" w:cs="Arial"/>
        </w:rPr>
        <w:t xml:space="preserve"> del PIB</w:t>
      </w:r>
      <w:r w:rsidR="00AF14AF" w:rsidRPr="00B615AD">
        <w:rPr>
          <w:rFonts w:ascii="Calibri" w:hAnsi="Calibri" w:cs="Arial"/>
        </w:rPr>
        <w:t>; la mitad de esta disminución en la participación se recupera en 2020</w:t>
      </w:r>
      <w:r w:rsidRPr="00B615AD">
        <w:rPr>
          <w:rFonts w:ascii="Calibri" w:hAnsi="Calibri" w:cs="Arial"/>
        </w:rPr>
        <w:t>. Entre ellos se destaca el comportamiento del Gasto en Personal, que en 201</w:t>
      </w:r>
      <w:r w:rsidR="00BC312A" w:rsidRPr="00B615AD">
        <w:rPr>
          <w:rFonts w:ascii="Calibri" w:hAnsi="Calibri" w:cs="Arial"/>
        </w:rPr>
        <w:t>9</w:t>
      </w:r>
      <w:r w:rsidRPr="00B615AD">
        <w:rPr>
          <w:rFonts w:ascii="Calibri" w:hAnsi="Calibri" w:cs="Arial"/>
        </w:rPr>
        <w:t xml:space="preserve"> </w:t>
      </w:r>
      <w:r w:rsidR="00B46620" w:rsidRPr="00B615AD">
        <w:rPr>
          <w:rFonts w:ascii="Calibri" w:hAnsi="Calibri" w:cs="Arial"/>
        </w:rPr>
        <w:t>vuelve a disminuir en términos del PIB hasta equivaler</w:t>
      </w:r>
      <w:r w:rsidRPr="00B615AD">
        <w:rPr>
          <w:rFonts w:ascii="Calibri" w:hAnsi="Calibri" w:cs="Arial"/>
        </w:rPr>
        <w:t xml:space="preserve"> a 7,</w:t>
      </w:r>
      <w:r w:rsidR="00AF14AF" w:rsidRPr="00B615AD">
        <w:rPr>
          <w:rFonts w:ascii="Calibri" w:hAnsi="Calibri" w:cs="Arial"/>
        </w:rPr>
        <w:t>4</w:t>
      </w:r>
      <w:r w:rsidR="000211ED">
        <w:rPr>
          <w:rFonts w:ascii="Calibri" w:hAnsi="Calibri" w:cs="Arial"/>
        </w:rPr>
        <w:t>%</w:t>
      </w:r>
      <w:r w:rsidRPr="00B615AD">
        <w:rPr>
          <w:rFonts w:ascii="Calibri" w:hAnsi="Calibri" w:cs="Arial"/>
        </w:rPr>
        <w:t>, luego de un recorrido que fuera expansivo desde 5,3</w:t>
      </w:r>
      <w:r w:rsidR="000211ED">
        <w:rPr>
          <w:rFonts w:ascii="Calibri" w:hAnsi="Calibri" w:cs="Arial"/>
        </w:rPr>
        <w:t>%</w:t>
      </w:r>
      <w:r w:rsidRPr="00B615AD">
        <w:rPr>
          <w:rFonts w:ascii="Calibri" w:hAnsi="Calibri" w:cs="Arial"/>
        </w:rPr>
        <w:t xml:space="preserve"> del </w:t>
      </w:r>
      <w:r w:rsidRPr="00B615AD">
        <w:rPr>
          <w:rFonts w:ascii="Calibri" w:hAnsi="Calibri" w:cs="Arial"/>
        </w:rPr>
        <w:lastRenderedPageBreak/>
        <w:t xml:space="preserve">PIB en 2005, </w:t>
      </w:r>
      <w:r w:rsidR="00B46620" w:rsidRPr="00B615AD">
        <w:rPr>
          <w:rFonts w:ascii="Calibri" w:hAnsi="Calibri" w:cs="Arial"/>
        </w:rPr>
        <w:t>a su máximo de</w:t>
      </w:r>
      <w:r w:rsidRPr="00B615AD">
        <w:rPr>
          <w:rFonts w:ascii="Calibri" w:hAnsi="Calibri" w:cs="Arial"/>
        </w:rPr>
        <w:t xml:space="preserve"> 8,</w:t>
      </w:r>
      <w:r w:rsidR="00BC312A" w:rsidRPr="00B615AD">
        <w:rPr>
          <w:rFonts w:ascii="Calibri" w:hAnsi="Calibri" w:cs="Arial"/>
        </w:rPr>
        <w:t>4</w:t>
      </w:r>
      <w:r w:rsidR="000211ED">
        <w:rPr>
          <w:rFonts w:ascii="Calibri" w:hAnsi="Calibri" w:cs="Arial"/>
        </w:rPr>
        <w:t>%</w:t>
      </w:r>
      <w:r w:rsidRPr="00B615AD">
        <w:rPr>
          <w:rFonts w:ascii="Calibri" w:hAnsi="Calibri" w:cs="Arial"/>
        </w:rPr>
        <w:t xml:space="preserve"> del PIB en 201</w:t>
      </w:r>
      <w:r w:rsidR="00B46620" w:rsidRPr="00B615AD">
        <w:rPr>
          <w:rFonts w:ascii="Calibri" w:hAnsi="Calibri" w:cs="Arial"/>
        </w:rPr>
        <w:t>6</w:t>
      </w:r>
      <w:r w:rsidRPr="00B615AD">
        <w:rPr>
          <w:rFonts w:ascii="Calibri" w:hAnsi="Calibri" w:cs="Arial"/>
        </w:rPr>
        <w:t>.</w:t>
      </w:r>
      <w:r w:rsidR="00AF14AF" w:rsidRPr="00B615AD">
        <w:rPr>
          <w:rFonts w:ascii="Calibri" w:hAnsi="Calibri" w:cs="Arial"/>
        </w:rPr>
        <w:t xml:space="preserve"> Análogamente, esta partida se recupera parcialmente en términos del PIB en 2020, alcanzando un equivalente de 7,9</w:t>
      </w:r>
      <w:r w:rsidR="000211ED">
        <w:rPr>
          <w:rFonts w:ascii="Calibri" w:hAnsi="Calibri" w:cs="Arial"/>
        </w:rPr>
        <w:t>%</w:t>
      </w:r>
      <w:r w:rsidR="00AF14AF" w:rsidRPr="00B615AD">
        <w:rPr>
          <w:rFonts w:ascii="Calibri" w:hAnsi="Calibri" w:cs="Arial"/>
        </w:rPr>
        <w:t>.</w:t>
      </w:r>
    </w:p>
    <w:p w:rsidR="00C607A4" w:rsidRPr="00AF14AF" w:rsidRDefault="00C607A4" w:rsidP="00C607A4">
      <w:pPr>
        <w:suppressAutoHyphens/>
        <w:jc w:val="both"/>
        <w:rPr>
          <w:rFonts w:ascii="Calibri" w:hAnsi="Calibri" w:cs="Arial"/>
        </w:rPr>
      </w:pPr>
    </w:p>
    <w:p w:rsidR="00C607A4" w:rsidRPr="00AF14AF" w:rsidRDefault="00C607A4" w:rsidP="00C607A4">
      <w:pPr>
        <w:suppressAutoHyphens/>
        <w:jc w:val="both"/>
        <w:rPr>
          <w:rFonts w:ascii="Calibri" w:hAnsi="Calibri" w:cs="Arial"/>
        </w:rPr>
      </w:pPr>
      <w:r w:rsidRPr="00AF14AF">
        <w:rPr>
          <w:rFonts w:ascii="Calibri" w:hAnsi="Calibri" w:cs="Arial"/>
        </w:rPr>
        <w:t>Entre los resta</w:t>
      </w:r>
      <w:r w:rsidR="00BC312A" w:rsidRPr="00AF14AF">
        <w:rPr>
          <w:rFonts w:ascii="Calibri" w:hAnsi="Calibri" w:cs="Arial"/>
        </w:rPr>
        <w:t>ntes egresos se debe mencionar la incidencia de</w:t>
      </w:r>
      <w:r w:rsidRPr="00AF14AF">
        <w:rPr>
          <w:rFonts w:ascii="Calibri" w:hAnsi="Calibri" w:cs="Arial"/>
        </w:rPr>
        <w:t xml:space="preserve"> la Inversión Real Directa, que ha</w:t>
      </w:r>
      <w:r w:rsidR="00AF14AF" w:rsidRPr="00AF14AF">
        <w:rPr>
          <w:rFonts w:ascii="Calibri" w:hAnsi="Calibri" w:cs="Arial"/>
        </w:rPr>
        <w:t>bía</w:t>
      </w:r>
      <w:r w:rsidRPr="00AF14AF">
        <w:rPr>
          <w:rFonts w:ascii="Calibri" w:hAnsi="Calibri" w:cs="Arial"/>
        </w:rPr>
        <w:t xml:space="preserve"> permanecido hasta 2016 en torno a 1,5</w:t>
      </w:r>
      <w:r w:rsidR="000211ED">
        <w:rPr>
          <w:rFonts w:ascii="Calibri" w:hAnsi="Calibri" w:cs="Arial"/>
        </w:rPr>
        <w:t>%</w:t>
      </w:r>
      <w:r w:rsidRPr="00AF14AF">
        <w:rPr>
          <w:rFonts w:ascii="Calibri" w:hAnsi="Calibri" w:cs="Arial"/>
        </w:rPr>
        <w:t xml:space="preserve"> del PIB, con un mínimo en el ejercicio 2012 cuando representó sólo 1,32</w:t>
      </w:r>
      <w:r w:rsidR="000211ED">
        <w:rPr>
          <w:rFonts w:ascii="Calibri" w:hAnsi="Calibri" w:cs="Arial"/>
        </w:rPr>
        <w:t>%</w:t>
      </w:r>
      <w:r w:rsidRPr="00AF14AF">
        <w:rPr>
          <w:rFonts w:ascii="Calibri" w:hAnsi="Calibri" w:cs="Arial"/>
        </w:rPr>
        <w:t xml:space="preserve"> del PIB. Tras haber alcanzado 1,</w:t>
      </w:r>
      <w:r w:rsidR="00BC312A" w:rsidRPr="00AF14AF">
        <w:rPr>
          <w:rFonts w:ascii="Calibri" w:hAnsi="Calibri" w:cs="Arial"/>
        </w:rPr>
        <w:t>8</w:t>
      </w:r>
      <w:r w:rsidR="000211ED">
        <w:rPr>
          <w:rFonts w:ascii="Calibri" w:hAnsi="Calibri" w:cs="Arial"/>
        </w:rPr>
        <w:t>%</w:t>
      </w:r>
      <w:r w:rsidRPr="00AF14AF">
        <w:rPr>
          <w:rFonts w:ascii="Calibri" w:hAnsi="Calibri" w:cs="Arial"/>
        </w:rPr>
        <w:t xml:space="preserve"> del PIB en 201</w:t>
      </w:r>
      <w:r w:rsidR="00BC312A" w:rsidRPr="00AF14AF">
        <w:rPr>
          <w:rFonts w:ascii="Calibri" w:hAnsi="Calibri" w:cs="Arial"/>
        </w:rPr>
        <w:t>7 -</w:t>
      </w:r>
      <w:r w:rsidRPr="00AF14AF">
        <w:rPr>
          <w:rFonts w:ascii="Calibri" w:hAnsi="Calibri" w:cs="Arial"/>
        </w:rPr>
        <w:t>el nivel más alto del período considerado</w:t>
      </w:r>
      <w:r w:rsidR="00BC312A" w:rsidRPr="00AF14AF">
        <w:rPr>
          <w:rFonts w:ascii="Calibri" w:hAnsi="Calibri" w:cs="Arial"/>
        </w:rPr>
        <w:t>-</w:t>
      </w:r>
      <w:r w:rsidRPr="00AF14AF">
        <w:rPr>
          <w:rFonts w:ascii="Calibri" w:hAnsi="Calibri" w:cs="Arial"/>
        </w:rPr>
        <w:t xml:space="preserve">, </w:t>
      </w:r>
      <w:r w:rsidR="0081630C" w:rsidRPr="00AF14AF">
        <w:rPr>
          <w:rFonts w:ascii="Calibri" w:hAnsi="Calibri" w:cs="Arial"/>
        </w:rPr>
        <w:t>retrocedió al nivel más bajo de su participación en 20</w:t>
      </w:r>
      <w:r w:rsidR="00AF14AF" w:rsidRPr="00AF14AF">
        <w:rPr>
          <w:rFonts w:ascii="Calibri" w:hAnsi="Calibri" w:cs="Arial"/>
        </w:rPr>
        <w:t>20</w:t>
      </w:r>
      <w:r w:rsidR="0081630C" w:rsidRPr="00AF14AF">
        <w:rPr>
          <w:rFonts w:ascii="Calibri" w:hAnsi="Calibri" w:cs="Arial"/>
        </w:rPr>
        <w:t xml:space="preserve"> </w:t>
      </w:r>
      <w:r w:rsidRPr="00AF14AF">
        <w:rPr>
          <w:rFonts w:ascii="Calibri" w:hAnsi="Calibri" w:cs="Arial"/>
        </w:rPr>
        <w:t>(</w:t>
      </w:r>
      <w:r w:rsidR="00AF14AF" w:rsidRPr="00AF14AF">
        <w:rPr>
          <w:rFonts w:ascii="Calibri" w:hAnsi="Calibri" w:cs="Arial"/>
        </w:rPr>
        <w:t>0,92</w:t>
      </w:r>
      <w:r w:rsidR="000211ED">
        <w:rPr>
          <w:rFonts w:ascii="Calibri" w:hAnsi="Calibri" w:cs="Arial"/>
        </w:rPr>
        <w:t>%</w:t>
      </w:r>
      <w:r w:rsidRPr="00AF14AF">
        <w:rPr>
          <w:rFonts w:ascii="Calibri" w:hAnsi="Calibri" w:cs="Arial"/>
        </w:rPr>
        <w:t>)</w:t>
      </w:r>
      <w:r w:rsidR="00AF14AF" w:rsidRPr="00AF14AF">
        <w:rPr>
          <w:rFonts w:ascii="Calibri" w:hAnsi="Calibri" w:cs="Arial"/>
        </w:rPr>
        <w:t>, lo que puede imputarse particularmente a la reprogramación de los cronogramas de obras y adquisiciones introducidos por la gestión de la emergencia sanitaria</w:t>
      </w:r>
      <w:r w:rsidRPr="00AF14AF">
        <w:rPr>
          <w:rFonts w:ascii="Calibri" w:hAnsi="Calibri" w:cs="Arial"/>
        </w:rPr>
        <w:t>.</w:t>
      </w:r>
    </w:p>
    <w:p w:rsidR="00091876" w:rsidRPr="00AF14AF" w:rsidRDefault="00091876" w:rsidP="00091876">
      <w:pPr>
        <w:suppressAutoHyphens/>
        <w:jc w:val="both"/>
        <w:rPr>
          <w:rFonts w:ascii="Calibri" w:hAnsi="Calibri" w:cs="Arial"/>
        </w:rPr>
      </w:pPr>
    </w:p>
    <w:p w:rsidR="00FD6FDC" w:rsidRPr="00820503" w:rsidRDefault="00FD6FDC" w:rsidP="00FD6FDC">
      <w:pPr>
        <w:pStyle w:val="Cuadros1"/>
        <w:ind w:left="1701" w:right="1701"/>
      </w:pPr>
      <w:r w:rsidRPr="00AF14AF">
        <w:t>Gráfico 5. Ingresos Totales, Gastos Totales y Resultado</w:t>
      </w:r>
      <w:r w:rsidRPr="00820503">
        <w:t xml:space="preserve"> Financiero de la APNF / PIB -base devengado </w:t>
      </w:r>
      <w:r>
        <w:t>-en</w:t>
      </w:r>
      <w:r w:rsidR="000211ED">
        <w:t>%</w:t>
      </w:r>
      <w:r>
        <w:t xml:space="preserve"> PIB</w:t>
      </w:r>
    </w:p>
    <w:p w:rsidR="00FD6FDC" w:rsidRPr="0081630C" w:rsidRDefault="00FD6FDC" w:rsidP="00FD6FDC">
      <w:pPr>
        <w:pStyle w:val="Cuadros2"/>
        <w:rPr>
          <w:sz w:val="24"/>
          <w:szCs w:val="24"/>
        </w:rPr>
      </w:pPr>
      <w:r w:rsidRPr="0081630C">
        <w:rPr>
          <w:sz w:val="24"/>
          <w:szCs w:val="24"/>
        </w:rPr>
        <w:t>2005-</w:t>
      </w:r>
      <w:r w:rsidR="00BF6C1F" w:rsidRPr="0081630C">
        <w:rPr>
          <w:sz w:val="24"/>
          <w:szCs w:val="24"/>
        </w:rPr>
        <w:t>20</w:t>
      </w:r>
      <w:r w:rsidR="0082736B">
        <w:rPr>
          <w:sz w:val="24"/>
          <w:szCs w:val="24"/>
        </w:rPr>
        <w:t>20</w:t>
      </w:r>
    </w:p>
    <w:p w:rsidR="00FD6FDC" w:rsidRPr="003C1011" w:rsidRDefault="009D7CB2" w:rsidP="00CC56AF">
      <w:pPr>
        <w:suppressAutoHyphens/>
        <w:spacing w:after="120"/>
        <w:jc w:val="center"/>
        <w:rPr>
          <w:rFonts w:ascii="Calibri" w:hAnsi="Calibri"/>
        </w:rPr>
      </w:pPr>
      <w:r>
        <w:rPr>
          <w:rFonts w:ascii="Calibri" w:hAnsi="Calibri"/>
          <w:noProof/>
          <w:lang w:val="es-AR" w:eastAsia="es-AR"/>
        </w:rPr>
        <w:drawing>
          <wp:inline distT="0" distB="0" distL="0" distR="0">
            <wp:extent cx="6130925" cy="2677795"/>
            <wp:effectExtent l="19050" t="19050" r="3175" b="8255"/>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130925" cy="2677795"/>
                    </a:xfrm>
                    <a:prstGeom prst="rect">
                      <a:avLst/>
                    </a:prstGeom>
                    <a:noFill/>
                    <a:ln w="15875">
                      <a:solidFill>
                        <a:srgbClr val="000000"/>
                      </a:solidFill>
                      <a:miter lim="800000"/>
                      <a:headEnd/>
                      <a:tailEnd/>
                    </a:ln>
                  </pic:spPr>
                </pic:pic>
              </a:graphicData>
            </a:graphic>
          </wp:inline>
        </w:drawing>
      </w:r>
    </w:p>
    <w:p w:rsidR="00FD6FDC" w:rsidRPr="001A0D1D" w:rsidRDefault="00FD6FDC" w:rsidP="00027996">
      <w:pPr>
        <w:suppressAutoHyphens/>
        <w:ind w:left="142"/>
        <w:jc w:val="both"/>
        <w:rPr>
          <w:rFonts w:ascii="Calibri" w:hAnsi="Calibri"/>
          <w:sz w:val="20"/>
          <w:szCs w:val="20"/>
        </w:rPr>
      </w:pPr>
      <w:r w:rsidRPr="001A0D1D">
        <w:rPr>
          <w:rFonts w:ascii="Calibri" w:hAnsi="Calibri"/>
          <w:b/>
          <w:sz w:val="20"/>
          <w:szCs w:val="20"/>
        </w:rPr>
        <w:t>Fuente</w:t>
      </w:r>
      <w:r w:rsidRPr="001A0D1D">
        <w:rPr>
          <w:rFonts w:ascii="Calibri" w:hAnsi="Calibri"/>
          <w:sz w:val="20"/>
          <w:szCs w:val="20"/>
        </w:rPr>
        <w:t>: Secretaría de Hacienda en base información provista por las jurisdicciones, e INDEC</w:t>
      </w:r>
    </w:p>
    <w:p w:rsidR="0072688B" w:rsidRPr="001A0D1D" w:rsidRDefault="0072688B" w:rsidP="0072688B">
      <w:pPr>
        <w:suppressAutoHyphens/>
        <w:jc w:val="both"/>
        <w:rPr>
          <w:rFonts w:ascii="Calibri" w:hAnsi="Calibri" w:cs="Arial"/>
          <w:highlight w:val="yellow"/>
        </w:rPr>
      </w:pPr>
    </w:p>
    <w:p w:rsidR="00FD6FDC" w:rsidRPr="00AF14AF" w:rsidRDefault="00FD6FDC" w:rsidP="00FD6FDC">
      <w:pPr>
        <w:suppressAutoHyphens/>
        <w:jc w:val="both"/>
        <w:rPr>
          <w:rFonts w:ascii="Calibri" w:hAnsi="Calibri" w:cs="Arial"/>
        </w:rPr>
      </w:pPr>
      <w:r w:rsidRPr="00AF14AF">
        <w:rPr>
          <w:rFonts w:ascii="Calibri" w:hAnsi="Calibri" w:cs="Arial"/>
        </w:rPr>
        <w:t xml:space="preserve">Del resto de las erogaciones, se </w:t>
      </w:r>
      <w:r w:rsidR="00C912D9" w:rsidRPr="00AF14AF">
        <w:rPr>
          <w:rFonts w:ascii="Calibri" w:hAnsi="Calibri" w:cs="Arial"/>
        </w:rPr>
        <w:t>destacan</w:t>
      </w:r>
      <w:r w:rsidRPr="00AF14AF">
        <w:rPr>
          <w:rFonts w:ascii="Calibri" w:hAnsi="Calibri" w:cs="Arial"/>
        </w:rPr>
        <w:t xml:space="preserve"> l</w:t>
      </w:r>
      <w:r w:rsidR="00942476" w:rsidRPr="00AF14AF">
        <w:rPr>
          <w:rFonts w:ascii="Calibri" w:hAnsi="Calibri" w:cs="Arial"/>
        </w:rPr>
        <w:t>os gastos en</w:t>
      </w:r>
      <w:r w:rsidRPr="00AF14AF">
        <w:rPr>
          <w:rFonts w:ascii="Calibri" w:hAnsi="Calibri" w:cs="Arial"/>
        </w:rPr>
        <w:t xml:space="preserve"> Prestaciones de la Seguridad Social </w:t>
      </w:r>
      <w:r w:rsidR="00C912D9" w:rsidRPr="00AF14AF">
        <w:rPr>
          <w:rFonts w:ascii="Calibri" w:hAnsi="Calibri" w:cs="Arial"/>
        </w:rPr>
        <w:t xml:space="preserve">que </w:t>
      </w:r>
      <w:r w:rsidRPr="00AF14AF">
        <w:rPr>
          <w:rFonts w:ascii="Calibri" w:hAnsi="Calibri" w:cs="Arial"/>
        </w:rPr>
        <w:t>se incrementa</w:t>
      </w:r>
      <w:r w:rsidR="00C912D9" w:rsidRPr="00AF14AF">
        <w:rPr>
          <w:rFonts w:ascii="Calibri" w:hAnsi="Calibri" w:cs="Arial"/>
        </w:rPr>
        <w:t>ro</w:t>
      </w:r>
      <w:r w:rsidR="00942476" w:rsidRPr="00AF14AF">
        <w:rPr>
          <w:rFonts w:ascii="Calibri" w:hAnsi="Calibri" w:cs="Arial"/>
        </w:rPr>
        <w:t>n</w:t>
      </w:r>
      <w:r w:rsidRPr="00AF14AF">
        <w:rPr>
          <w:rFonts w:ascii="Calibri" w:hAnsi="Calibri" w:cs="Arial"/>
        </w:rPr>
        <w:t xml:space="preserve"> en forma sostenida desde 1,3</w:t>
      </w:r>
      <w:r w:rsidR="000211ED">
        <w:rPr>
          <w:rFonts w:ascii="Calibri" w:hAnsi="Calibri" w:cs="Arial"/>
        </w:rPr>
        <w:t>%</w:t>
      </w:r>
      <w:r w:rsidRPr="00AF14AF">
        <w:rPr>
          <w:rFonts w:ascii="Calibri" w:hAnsi="Calibri" w:cs="Arial"/>
        </w:rPr>
        <w:t xml:space="preserve"> del PIB en 2005 </w:t>
      </w:r>
      <w:r w:rsidR="00C83965">
        <w:rPr>
          <w:rFonts w:ascii="Calibri" w:hAnsi="Calibri" w:cs="Arial"/>
        </w:rPr>
        <w:t>hast</w:t>
      </w:r>
      <w:r w:rsidRPr="00AF14AF">
        <w:rPr>
          <w:rFonts w:ascii="Calibri" w:hAnsi="Calibri" w:cs="Arial"/>
        </w:rPr>
        <w:t>a</w:t>
      </w:r>
      <w:r w:rsidR="00DB7726" w:rsidRPr="00AF14AF">
        <w:rPr>
          <w:rFonts w:ascii="Calibri" w:hAnsi="Calibri" w:cs="Arial"/>
        </w:rPr>
        <w:t xml:space="preserve"> </w:t>
      </w:r>
      <w:r w:rsidRPr="00AF14AF">
        <w:rPr>
          <w:rFonts w:ascii="Calibri" w:hAnsi="Calibri" w:cs="Arial"/>
        </w:rPr>
        <w:t>2,</w:t>
      </w:r>
      <w:r w:rsidR="0081630C" w:rsidRPr="00AF14AF">
        <w:rPr>
          <w:rFonts w:ascii="Calibri" w:hAnsi="Calibri" w:cs="Arial"/>
        </w:rPr>
        <w:t>2</w:t>
      </w:r>
      <w:r w:rsidR="000211ED">
        <w:rPr>
          <w:rFonts w:ascii="Calibri" w:hAnsi="Calibri" w:cs="Arial"/>
        </w:rPr>
        <w:t>%</w:t>
      </w:r>
      <w:r w:rsidRPr="00AF14AF">
        <w:rPr>
          <w:rFonts w:ascii="Calibri" w:hAnsi="Calibri" w:cs="Arial"/>
        </w:rPr>
        <w:t xml:space="preserve"> del PIB en 201</w:t>
      </w:r>
      <w:r w:rsidR="0081630C" w:rsidRPr="00AF14AF">
        <w:rPr>
          <w:rFonts w:ascii="Calibri" w:hAnsi="Calibri" w:cs="Arial"/>
        </w:rPr>
        <w:t xml:space="preserve">7, </w:t>
      </w:r>
      <w:r w:rsidR="00AF14AF" w:rsidRPr="00AF14AF">
        <w:rPr>
          <w:rFonts w:ascii="Calibri" w:hAnsi="Calibri" w:cs="Arial"/>
        </w:rPr>
        <w:t>aumentando a 2,3</w:t>
      </w:r>
      <w:r w:rsidR="000211ED">
        <w:rPr>
          <w:rFonts w:ascii="Calibri" w:hAnsi="Calibri" w:cs="Arial"/>
        </w:rPr>
        <w:t>%</w:t>
      </w:r>
      <w:r w:rsidR="0081630C" w:rsidRPr="00AF14AF">
        <w:rPr>
          <w:rFonts w:ascii="Calibri" w:hAnsi="Calibri" w:cs="Arial"/>
        </w:rPr>
        <w:t xml:space="preserve"> en 20</w:t>
      </w:r>
      <w:r w:rsidR="00AF14AF" w:rsidRPr="00AF14AF">
        <w:rPr>
          <w:rFonts w:ascii="Calibri" w:hAnsi="Calibri" w:cs="Arial"/>
        </w:rPr>
        <w:t>20</w:t>
      </w:r>
      <w:r w:rsidRPr="00AF14AF">
        <w:rPr>
          <w:rFonts w:ascii="Calibri" w:hAnsi="Calibri" w:cs="Arial"/>
        </w:rPr>
        <w:t xml:space="preserve">, </w:t>
      </w:r>
      <w:r w:rsidR="007F4E24" w:rsidRPr="00AF14AF">
        <w:rPr>
          <w:rFonts w:ascii="Calibri" w:hAnsi="Calibri" w:cs="Arial"/>
        </w:rPr>
        <w:t>d</w:t>
      </w:r>
      <w:r w:rsidR="00840056" w:rsidRPr="00AF14AF">
        <w:rPr>
          <w:rFonts w:ascii="Calibri" w:hAnsi="Calibri" w:cs="Arial"/>
        </w:rPr>
        <w:t>ebido a</w:t>
      </w:r>
      <w:r w:rsidR="007F4E24" w:rsidRPr="00AF14AF">
        <w:rPr>
          <w:rFonts w:ascii="Calibri" w:hAnsi="Calibri" w:cs="Arial"/>
        </w:rPr>
        <w:t xml:space="preserve"> los </w:t>
      </w:r>
      <w:r w:rsidR="00840056" w:rsidRPr="00AF14AF">
        <w:rPr>
          <w:rFonts w:ascii="Calibri" w:hAnsi="Calibri" w:cs="Arial"/>
        </w:rPr>
        <w:t>motivos</w:t>
      </w:r>
      <w:r w:rsidR="007F4E24" w:rsidRPr="00AF14AF">
        <w:rPr>
          <w:rFonts w:ascii="Calibri" w:hAnsi="Calibri" w:cs="Arial"/>
        </w:rPr>
        <w:t xml:space="preserve"> que se comentan al analizar est</w:t>
      </w:r>
      <w:r w:rsidR="00C912D9" w:rsidRPr="00AF14AF">
        <w:rPr>
          <w:rFonts w:ascii="Calibri" w:hAnsi="Calibri" w:cs="Arial"/>
        </w:rPr>
        <w:t>e concepto</w:t>
      </w:r>
      <w:r w:rsidR="007F4E24" w:rsidRPr="00AF14AF">
        <w:rPr>
          <w:rFonts w:ascii="Calibri" w:hAnsi="Calibri" w:cs="Arial"/>
        </w:rPr>
        <w:t xml:space="preserve"> en el apartado</w:t>
      </w:r>
      <w:r w:rsidR="00840056" w:rsidRPr="00AF14AF">
        <w:rPr>
          <w:rFonts w:ascii="Calibri" w:hAnsi="Calibri" w:cs="Arial"/>
        </w:rPr>
        <w:t xml:space="preserve"> III.3.</w:t>
      </w:r>
    </w:p>
    <w:p w:rsidR="00FD6FDC" w:rsidRPr="00532533" w:rsidRDefault="00FD6FDC" w:rsidP="00FD6FDC">
      <w:pPr>
        <w:suppressAutoHyphens/>
        <w:jc w:val="both"/>
        <w:rPr>
          <w:rFonts w:ascii="Calibri" w:hAnsi="Calibri" w:cs="Arial"/>
          <w:highlight w:val="yellow"/>
        </w:rPr>
      </w:pPr>
    </w:p>
    <w:p w:rsidR="005C784F" w:rsidRPr="00AF14AF" w:rsidRDefault="005C784F" w:rsidP="00FD6FDC">
      <w:pPr>
        <w:suppressAutoHyphens/>
        <w:jc w:val="both"/>
        <w:rPr>
          <w:rFonts w:ascii="Calibri" w:hAnsi="Calibri" w:cs="Arial"/>
        </w:rPr>
      </w:pPr>
      <w:r w:rsidRPr="00AF14AF">
        <w:rPr>
          <w:rFonts w:ascii="Calibri" w:hAnsi="Calibri" w:cs="Arial"/>
        </w:rPr>
        <w:t xml:space="preserve">La evolución de los principales resultados de la ejecución </w:t>
      </w:r>
      <w:r w:rsidR="00942476" w:rsidRPr="00AF14AF">
        <w:rPr>
          <w:rFonts w:ascii="Calibri" w:hAnsi="Calibri" w:cs="Arial"/>
        </w:rPr>
        <w:t xml:space="preserve">presupuestaria </w:t>
      </w:r>
      <w:r w:rsidR="00505E65" w:rsidRPr="00AF14AF">
        <w:rPr>
          <w:rFonts w:ascii="Calibri" w:hAnsi="Calibri" w:cs="Arial"/>
        </w:rPr>
        <w:t>medidos en términos del PIB s</w:t>
      </w:r>
      <w:r w:rsidRPr="00AF14AF">
        <w:rPr>
          <w:rFonts w:ascii="Calibri" w:hAnsi="Calibri" w:cs="Arial"/>
        </w:rPr>
        <w:t xml:space="preserve">e representa en el </w:t>
      </w:r>
      <w:r w:rsidR="00F20912" w:rsidRPr="00AF14AF">
        <w:rPr>
          <w:rFonts w:ascii="Calibri" w:hAnsi="Calibri" w:cs="Arial"/>
        </w:rPr>
        <w:t>Gráfico</w:t>
      </w:r>
      <w:r w:rsidRPr="00AF14AF">
        <w:rPr>
          <w:rFonts w:ascii="Calibri" w:hAnsi="Calibri" w:cs="Arial"/>
        </w:rPr>
        <w:t xml:space="preserve"> 6. El Resultado Económico o </w:t>
      </w:r>
      <w:r w:rsidR="00C912D9" w:rsidRPr="00AF14AF">
        <w:rPr>
          <w:rFonts w:ascii="Calibri" w:hAnsi="Calibri" w:cs="Arial"/>
        </w:rPr>
        <w:t>C</w:t>
      </w:r>
      <w:r w:rsidRPr="00AF14AF">
        <w:rPr>
          <w:rFonts w:ascii="Calibri" w:hAnsi="Calibri" w:cs="Arial"/>
        </w:rPr>
        <w:t>orriente mantuvo un saldo positivo en toda la serie, si bien</w:t>
      </w:r>
      <w:r w:rsidR="00DB7726" w:rsidRPr="00AF14AF">
        <w:rPr>
          <w:rFonts w:ascii="Calibri" w:hAnsi="Calibri" w:cs="Arial"/>
        </w:rPr>
        <w:t>,</w:t>
      </w:r>
      <w:r w:rsidRPr="00AF14AF">
        <w:rPr>
          <w:rFonts w:ascii="Calibri" w:hAnsi="Calibri" w:cs="Arial"/>
        </w:rPr>
        <w:t xml:space="preserve"> tras </w:t>
      </w:r>
      <w:r w:rsidR="00E14F5D" w:rsidRPr="00AF14AF">
        <w:rPr>
          <w:rFonts w:ascii="Calibri" w:hAnsi="Calibri" w:cs="Arial"/>
        </w:rPr>
        <w:t>representar</w:t>
      </w:r>
      <w:r w:rsidR="001257EC" w:rsidRPr="00AF14AF">
        <w:rPr>
          <w:rFonts w:ascii="Calibri" w:hAnsi="Calibri" w:cs="Arial"/>
        </w:rPr>
        <w:t xml:space="preserve"> </w:t>
      </w:r>
      <w:r w:rsidRPr="00AF14AF">
        <w:rPr>
          <w:rFonts w:ascii="Calibri" w:hAnsi="Calibri" w:cs="Arial"/>
        </w:rPr>
        <w:t>1,8</w:t>
      </w:r>
      <w:r w:rsidR="000211ED">
        <w:rPr>
          <w:rFonts w:ascii="Calibri" w:hAnsi="Calibri" w:cs="Arial"/>
        </w:rPr>
        <w:t>%</w:t>
      </w:r>
      <w:r w:rsidRPr="00AF14AF">
        <w:rPr>
          <w:rFonts w:ascii="Calibri" w:hAnsi="Calibri" w:cs="Arial"/>
        </w:rPr>
        <w:t xml:space="preserve"> del PIB en 2005, descendió a sólo 0,3</w:t>
      </w:r>
      <w:r w:rsidR="000211ED">
        <w:rPr>
          <w:rFonts w:ascii="Calibri" w:hAnsi="Calibri" w:cs="Arial"/>
        </w:rPr>
        <w:t>%</w:t>
      </w:r>
      <w:r w:rsidRPr="00AF14AF">
        <w:rPr>
          <w:rFonts w:ascii="Calibri" w:hAnsi="Calibri" w:cs="Arial"/>
        </w:rPr>
        <w:t xml:space="preserve"> del PIB en 2015</w:t>
      </w:r>
      <w:r w:rsidR="00DB7726" w:rsidRPr="00AF14AF">
        <w:rPr>
          <w:rFonts w:ascii="Calibri" w:hAnsi="Calibri" w:cs="Arial"/>
        </w:rPr>
        <w:t xml:space="preserve">. </w:t>
      </w:r>
      <w:r w:rsidR="0081630C" w:rsidRPr="00AF14AF">
        <w:rPr>
          <w:rFonts w:ascii="Calibri" w:hAnsi="Calibri" w:cs="Arial"/>
        </w:rPr>
        <w:t>La</w:t>
      </w:r>
      <w:r w:rsidRPr="00AF14AF">
        <w:rPr>
          <w:rFonts w:ascii="Calibri" w:hAnsi="Calibri" w:cs="Arial"/>
        </w:rPr>
        <w:t xml:space="preserve"> </w:t>
      </w:r>
      <w:r w:rsidR="0081630C" w:rsidRPr="00AF14AF">
        <w:rPr>
          <w:rFonts w:ascii="Calibri" w:hAnsi="Calibri" w:cs="Arial"/>
        </w:rPr>
        <w:t xml:space="preserve">recuperación </w:t>
      </w:r>
      <w:r w:rsidR="00840056" w:rsidRPr="00AF14AF">
        <w:rPr>
          <w:rFonts w:ascii="Calibri" w:hAnsi="Calibri" w:cs="Arial"/>
        </w:rPr>
        <w:t>sostenida</w:t>
      </w:r>
      <w:r w:rsidR="0081630C" w:rsidRPr="00AF14AF">
        <w:rPr>
          <w:rFonts w:ascii="Calibri" w:hAnsi="Calibri" w:cs="Arial"/>
        </w:rPr>
        <w:t xml:space="preserve"> desde entonces se </w:t>
      </w:r>
      <w:r w:rsidR="00AF14AF" w:rsidRPr="00AF14AF">
        <w:rPr>
          <w:rFonts w:ascii="Calibri" w:hAnsi="Calibri" w:cs="Arial"/>
        </w:rPr>
        <w:t>interrumpe</w:t>
      </w:r>
      <w:r w:rsidR="0081630C" w:rsidRPr="00AF14AF">
        <w:rPr>
          <w:rFonts w:ascii="Calibri" w:hAnsi="Calibri" w:cs="Arial"/>
        </w:rPr>
        <w:t xml:space="preserve"> en 2019</w:t>
      </w:r>
      <w:r w:rsidRPr="00AF14AF">
        <w:rPr>
          <w:rFonts w:ascii="Calibri" w:hAnsi="Calibri" w:cs="Arial"/>
        </w:rPr>
        <w:t xml:space="preserve">, </w:t>
      </w:r>
      <w:r w:rsidR="0081630C" w:rsidRPr="00AF14AF">
        <w:rPr>
          <w:rFonts w:ascii="Calibri" w:hAnsi="Calibri" w:cs="Arial"/>
        </w:rPr>
        <w:t>en concurrencia con el deterioro generalizado de los indicadores de resultado para el conjunto de las jurisdicciones,</w:t>
      </w:r>
      <w:r w:rsidR="00942476" w:rsidRPr="00AF14AF">
        <w:rPr>
          <w:rFonts w:ascii="Calibri" w:hAnsi="Calibri" w:cs="Arial"/>
        </w:rPr>
        <w:t xml:space="preserve"> </w:t>
      </w:r>
      <w:r w:rsidR="00AF14AF" w:rsidRPr="00AF14AF">
        <w:rPr>
          <w:rFonts w:ascii="Calibri" w:hAnsi="Calibri" w:cs="Arial"/>
        </w:rPr>
        <w:t>y se recupera en 2020 para alcanzar</w:t>
      </w:r>
      <w:r w:rsidR="00DB7726" w:rsidRPr="00AF14AF">
        <w:rPr>
          <w:rFonts w:ascii="Calibri" w:hAnsi="Calibri" w:cs="Arial"/>
        </w:rPr>
        <w:t xml:space="preserve"> </w:t>
      </w:r>
      <w:r w:rsidR="00AF14AF" w:rsidRPr="00AF14AF">
        <w:rPr>
          <w:rFonts w:ascii="Calibri" w:hAnsi="Calibri" w:cs="Arial"/>
        </w:rPr>
        <w:t>1,0</w:t>
      </w:r>
      <w:r w:rsidR="000211ED">
        <w:rPr>
          <w:rFonts w:ascii="Calibri" w:hAnsi="Calibri" w:cs="Arial"/>
        </w:rPr>
        <w:t>%</w:t>
      </w:r>
      <w:r w:rsidR="00DB7726" w:rsidRPr="00AF14AF">
        <w:rPr>
          <w:rFonts w:ascii="Calibri" w:hAnsi="Calibri" w:cs="Arial"/>
        </w:rPr>
        <w:t xml:space="preserve"> del PIB</w:t>
      </w:r>
      <w:r w:rsidRPr="00AF14AF">
        <w:rPr>
          <w:rFonts w:ascii="Calibri" w:hAnsi="Calibri" w:cs="Arial"/>
        </w:rPr>
        <w:t>.</w:t>
      </w:r>
    </w:p>
    <w:p w:rsidR="00091876" w:rsidRPr="00532533" w:rsidRDefault="00091876" w:rsidP="00091876">
      <w:pPr>
        <w:suppressAutoHyphens/>
        <w:jc w:val="both"/>
        <w:rPr>
          <w:rFonts w:ascii="Calibri" w:hAnsi="Calibri" w:cs="Arial"/>
          <w:highlight w:val="yellow"/>
        </w:rPr>
      </w:pPr>
    </w:p>
    <w:p w:rsidR="00091876" w:rsidRPr="008F2A05" w:rsidRDefault="00091876" w:rsidP="00091876">
      <w:pPr>
        <w:suppressAutoHyphens/>
        <w:jc w:val="both"/>
        <w:rPr>
          <w:rFonts w:ascii="Calibri" w:hAnsi="Calibri" w:cs="Arial"/>
        </w:rPr>
      </w:pPr>
      <w:r w:rsidRPr="008F2A05">
        <w:rPr>
          <w:rFonts w:ascii="Calibri" w:hAnsi="Calibri" w:cs="Arial"/>
        </w:rPr>
        <w:lastRenderedPageBreak/>
        <w:t>El Resultado Financiero de la ejecución presupuestaria del agregado de las 23 Provincias y la Ciudad Autónoma de Buenos Aires registró en 20</w:t>
      </w:r>
      <w:r w:rsidR="00AF14AF" w:rsidRPr="008F2A05">
        <w:rPr>
          <w:rFonts w:ascii="Calibri" w:hAnsi="Calibri" w:cs="Arial"/>
        </w:rPr>
        <w:t>20</w:t>
      </w:r>
      <w:r w:rsidRPr="008F2A05">
        <w:rPr>
          <w:rFonts w:ascii="Calibri" w:hAnsi="Calibri" w:cs="Arial"/>
        </w:rPr>
        <w:t xml:space="preserve"> el </w:t>
      </w:r>
      <w:r w:rsidR="00AF14AF" w:rsidRPr="008F2A05">
        <w:rPr>
          <w:rFonts w:ascii="Calibri" w:hAnsi="Calibri" w:cs="Arial"/>
        </w:rPr>
        <w:t>décimo</w:t>
      </w:r>
      <w:r w:rsidRPr="008F2A05">
        <w:rPr>
          <w:rFonts w:ascii="Calibri" w:hAnsi="Calibri" w:cs="Arial"/>
        </w:rPr>
        <w:t xml:space="preserve"> ejercicio consecutivo con saldo deficitario. La particularidad viene dada por el hecho de que los resultados financieros </w:t>
      </w:r>
      <w:r w:rsidR="00E14F5D" w:rsidRPr="008F2A05">
        <w:rPr>
          <w:rFonts w:ascii="Calibri" w:hAnsi="Calibri" w:cs="Arial"/>
        </w:rPr>
        <w:t>observ</w:t>
      </w:r>
      <w:r w:rsidRPr="008F2A05">
        <w:rPr>
          <w:rFonts w:ascii="Calibri" w:hAnsi="Calibri" w:cs="Arial"/>
        </w:rPr>
        <w:t>aron entre 2015 y 201</w:t>
      </w:r>
      <w:r w:rsidR="00E14F5D" w:rsidRPr="008F2A05">
        <w:rPr>
          <w:rFonts w:ascii="Calibri" w:hAnsi="Calibri" w:cs="Arial"/>
        </w:rPr>
        <w:t>9</w:t>
      </w:r>
      <w:r w:rsidRPr="008F2A05">
        <w:rPr>
          <w:rFonts w:ascii="Calibri" w:hAnsi="Calibri" w:cs="Arial"/>
        </w:rPr>
        <w:t xml:space="preserve"> los valores más negativos</w:t>
      </w:r>
      <w:r w:rsidRPr="008F2A05">
        <w:rPr>
          <w:rFonts w:ascii="Calibri" w:hAnsi="Calibri"/>
        </w:rPr>
        <w:t xml:space="preserve"> expresados en términos del </w:t>
      </w:r>
      <w:r w:rsidRPr="008F2A05">
        <w:rPr>
          <w:rFonts w:ascii="Calibri" w:hAnsi="Calibri" w:cs="Arial"/>
        </w:rPr>
        <w:t>PIB de toda la serie considerada</w:t>
      </w:r>
      <w:r w:rsidR="008F2A05" w:rsidRPr="008F2A05">
        <w:rPr>
          <w:rFonts w:ascii="Calibri" w:hAnsi="Calibri" w:cs="Arial"/>
        </w:rPr>
        <w:t>; en 2020, el déficit disminuye a</w:t>
      </w:r>
      <w:r w:rsidRPr="008F2A05">
        <w:rPr>
          <w:rFonts w:ascii="Calibri" w:hAnsi="Calibri" w:cs="Arial"/>
        </w:rPr>
        <w:t xml:space="preserve"> 0,</w:t>
      </w:r>
      <w:r w:rsidR="008F2A05" w:rsidRPr="008F2A05">
        <w:rPr>
          <w:rFonts w:ascii="Calibri" w:hAnsi="Calibri" w:cs="Arial"/>
        </w:rPr>
        <w:t>2</w:t>
      </w:r>
      <w:r w:rsidR="00E14F5D" w:rsidRPr="008F2A05">
        <w:rPr>
          <w:rFonts w:ascii="Calibri" w:hAnsi="Calibri" w:cs="Arial"/>
        </w:rPr>
        <w:t>5</w:t>
      </w:r>
      <w:r w:rsidR="000211ED">
        <w:rPr>
          <w:rFonts w:ascii="Calibri" w:hAnsi="Calibri" w:cs="Arial"/>
        </w:rPr>
        <w:t>%</w:t>
      </w:r>
      <w:r w:rsidRPr="008F2A05">
        <w:rPr>
          <w:rFonts w:ascii="Calibri" w:hAnsi="Calibri" w:cs="Arial"/>
        </w:rPr>
        <w:t xml:space="preserve"> del PIB.</w:t>
      </w:r>
    </w:p>
    <w:p w:rsidR="005C784F" w:rsidRPr="00532533" w:rsidRDefault="005C784F" w:rsidP="00FD6FDC">
      <w:pPr>
        <w:suppressAutoHyphens/>
        <w:jc w:val="both"/>
        <w:rPr>
          <w:rFonts w:ascii="Calibri" w:hAnsi="Calibri" w:cs="Arial"/>
          <w:highlight w:val="yellow"/>
        </w:rPr>
      </w:pPr>
    </w:p>
    <w:p w:rsidR="00E14F5D" w:rsidRPr="001A0D1D" w:rsidRDefault="00E14F5D" w:rsidP="00E14F5D">
      <w:pPr>
        <w:suppressAutoHyphens/>
        <w:jc w:val="both"/>
        <w:rPr>
          <w:rFonts w:ascii="Calibri" w:hAnsi="Calibri" w:cs="Arial"/>
        </w:rPr>
      </w:pPr>
      <w:r w:rsidRPr="008F2A05">
        <w:rPr>
          <w:rFonts w:ascii="Calibri" w:hAnsi="Calibri" w:cs="Arial"/>
        </w:rPr>
        <w:t>Por s</w:t>
      </w:r>
      <w:r w:rsidR="008F2A05" w:rsidRPr="008F2A05">
        <w:rPr>
          <w:rFonts w:ascii="Calibri" w:hAnsi="Calibri" w:cs="Arial"/>
        </w:rPr>
        <w:t>u parte, el Resultado Primario</w:t>
      </w:r>
      <w:r w:rsidRPr="008F2A05">
        <w:rPr>
          <w:rFonts w:ascii="Calibri" w:hAnsi="Calibri" w:cs="Arial"/>
        </w:rPr>
        <w:t xml:space="preserve"> acompaña la tendencia del Resultado Financiero con un rasgo relevante, dado por la magnitud creciente de los intereses de la deuda. Desde el principio de la serie hasta el ejercicio 2011, se caracteriza por una disminución de la brecha que separa al Resultado Primario del Resultado Financiero, ya que </w:t>
      </w:r>
      <w:r w:rsidR="008F2A05" w:rsidRPr="008F2A05">
        <w:rPr>
          <w:rFonts w:ascii="Calibri" w:hAnsi="Calibri" w:cs="Arial"/>
        </w:rPr>
        <w:t>ambos</w:t>
      </w:r>
      <w:r w:rsidRPr="008F2A05">
        <w:rPr>
          <w:rFonts w:ascii="Calibri" w:hAnsi="Calibri" w:cs="Arial"/>
        </w:rPr>
        <w:t xml:space="preserve"> registran una persistente disminución. En efecto, el pago de Rentas de la Propiedad se ha mantenido desde 2006 y hasta 2015 por debajo de 0,3</w:t>
      </w:r>
      <w:r w:rsidR="000211ED">
        <w:rPr>
          <w:rFonts w:ascii="Calibri" w:hAnsi="Calibri" w:cs="Arial"/>
        </w:rPr>
        <w:t>%</w:t>
      </w:r>
      <w:r w:rsidRPr="008F2A05">
        <w:rPr>
          <w:rFonts w:ascii="Calibri" w:hAnsi="Calibri" w:cs="Arial"/>
        </w:rPr>
        <w:t xml:space="preserve"> del PIB. A partir de 2011 el incremento de dicha partida ha sido constante, sobre todo a partir de 2015. En 2016 superó el equivalente a 0,3</w:t>
      </w:r>
      <w:r w:rsidR="000211ED">
        <w:rPr>
          <w:rFonts w:ascii="Calibri" w:hAnsi="Calibri" w:cs="Arial"/>
        </w:rPr>
        <w:t>%</w:t>
      </w:r>
      <w:r w:rsidRPr="008F2A05">
        <w:rPr>
          <w:rFonts w:ascii="Calibri" w:hAnsi="Calibri" w:cs="Arial"/>
        </w:rPr>
        <w:t xml:space="preserve"> del PIB, llegando en </w:t>
      </w:r>
      <w:smartTag w:uri="urn:schemas-microsoft-com:office:smarttags" w:element="metricconverter">
        <w:smartTagPr>
          <w:attr w:name="ProductID" w:val="2019 a"/>
        </w:smartTagPr>
        <w:r w:rsidRPr="008F2A05">
          <w:rPr>
            <w:rFonts w:ascii="Calibri" w:hAnsi="Calibri" w:cs="Arial"/>
          </w:rPr>
          <w:t>2019 a</w:t>
        </w:r>
      </w:smartTag>
      <w:r w:rsidRPr="008F2A05">
        <w:rPr>
          <w:rFonts w:ascii="Calibri" w:hAnsi="Calibri" w:cs="Arial"/>
        </w:rPr>
        <w:t xml:space="preserve"> un máximo </w:t>
      </w:r>
      <w:r w:rsidR="008F2A05" w:rsidRPr="008F2A05">
        <w:rPr>
          <w:rFonts w:ascii="Calibri" w:hAnsi="Calibri" w:cs="Arial"/>
        </w:rPr>
        <w:t>de</w:t>
      </w:r>
      <w:r w:rsidRPr="008F2A05">
        <w:rPr>
          <w:rFonts w:ascii="Calibri" w:hAnsi="Calibri" w:cs="Arial"/>
        </w:rPr>
        <w:t xml:space="preserve"> 0,82</w:t>
      </w:r>
      <w:r w:rsidR="000211ED">
        <w:rPr>
          <w:rFonts w:ascii="Calibri" w:hAnsi="Calibri" w:cs="Arial"/>
        </w:rPr>
        <w:t>%</w:t>
      </w:r>
      <w:r w:rsidRPr="008F2A05">
        <w:rPr>
          <w:rFonts w:ascii="Calibri" w:hAnsi="Calibri" w:cs="Arial"/>
        </w:rPr>
        <w:t xml:space="preserve"> del PIB.</w:t>
      </w:r>
      <w:r w:rsidR="008F2A05" w:rsidRPr="008F2A05">
        <w:rPr>
          <w:rFonts w:ascii="Calibri" w:hAnsi="Calibri" w:cs="Arial"/>
        </w:rPr>
        <w:t xml:space="preserve"> En 2020, y por efecto de la re</w:t>
      </w:r>
      <w:r w:rsidR="00654C2B">
        <w:rPr>
          <w:rFonts w:ascii="Calibri" w:hAnsi="Calibri" w:cs="Arial"/>
        </w:rPr>
        <w:t>estructur</w:t>
      </w:r>
      <w:r w:rsidR="008F2A05" w:rsidRPr="008F2A05">
        <w:rPr>
          <w:rFonts w:ascii="Calibri" w:hAnsi="Calibri" w:cs="Arial"/>
        </w:rPr>
        <w:t>ación de la deuda ya mencionada, esta razón</w:t>
      </w:r>
      <w:r w:rsidR="008F2A05">
        <w:rPr>
          <w:rFonts w:ascii="Calibri" w:hAnsi="Calibri" w:cs="Arial"/>
        </w:rPr>
        <w:t xml:space="preserve"> disminuye a 0,5</w:t>
      </w:r>
      <w:r w:rsidR="000211ED">
        <w:rPr>
          <w:rFonts w:ascii="Calibri" w:hAnsi="Calibri" w:cs="Arial"/>
        </w:rPr>
        <w:t>%</w:t>
      </w:r>
      <w:r w:rsidR="008F2A05">
        <w:rPr>
          <w:rFonts w:ascii="Calibri" w:hAnsi="Calibri" w:cs="Arial"/>
        </w:rPr>
        <w:t>.</w:t>
      </w:r>
    </w:p>
    <w:p w:rsidR="00E14F5D" w:rsidRPr="001A0D1D" w:rsidRDefault="00E14F5D" w:rsidP="00FD6FDC">
      <w:pPr>
        <w:suppressAutoHyphens/>
        <w:jc w:val="both"/>
        <w:rPr>
          <w:rFonts w:ascii="Calibri" w:hAnsi="Calibri" w:cs="Arial"/>
        </w:rPr>
      </w:pPr>
    </w:p>
    <w:p w:rsidR="0072688B" w:rsidRPr="00820503" w:rsidRDefault="0072688B" w:rsidP="0072688B">
      <w:pPr>
        <w:pStyle w:val="Cuadros1"/>
        <w:ind w:left="1418" w:right="1417"/>
      </w:pPr>
      <w:r w:rsidRPr="00820503">
        <w:t xml:space="preserve">Gráfico </w:t>
      </w:r>
      <w:r>
        <w:t>6</w:t>
      </w:r>
      <w:r w:rsidRPr="00820503">
        <w:t>. Resultado</w:t>
      </w:r>
      <w:r>
        <w:t xml:space="preserve"> Económico, Resultado</w:t>
      </w:r>
      <w:r w:rsidRPr="00820503">
        <w:t xml:space="preserve"> Financiero</w:t>
      </w:r>
      <w:r>
        <w:t xml:space="preserve"> y Resultado Primario</w:t>
      </w:r>
      <w:r w:rsidRPr="00820503">
        <w:t xml:space="preserve"> de la APNF / PIB -base devengado </w:t>
      </w:r>
      <w:r>
        <w:t>-en</w:t>
      </w:r>
      <w:r w:rsidR="000211ED">
        <w:t>%</w:t>
      </w:r>
      <w:r>
        <w:t xml:space="preserve"> PIB</w:t>
      </w:r>
    </w:p>
    <w:p w:rsidR="0072688B" w:rsidRPr="0081630C" w:rsidRDefault="0072688B" w:rsidP="0072688B">
      <w:pPr>
        <w:pStyle w:val="Cuadros2"/>
        <w:rPr>
          <w:sz w:val="24"/>
          <w:szCs w:val="24"/>
        </w:rPr>
      </w:pPr>
      <w:r w:rsidRPr="0081630C">
        <w:rPr>
          <w:sz w:val="24"/>
          <w:szCs w:val="24"/>
        </w:rPr>
        <w:t>2005-20</w:t>
      </w:r>
      <w:r w:rsidR="0082736B">
        <w:rPr>
          <w:sz w:val="24"/>
          <w:szCs w:val="24"/>
        </w:rPr>
        <w:t>20</w:t>
      </w:r>
    </w:p>
    <w:p w:rsidR="0072688B" w:rsidRPr="0081630C" w:rsidRDefault="009D7CB2" w:rsidP="005F0994">
      <w:pPr>
        <w:suppressAutoHyphens/>
        <w:spacing w:after="120"/>
        <w:jc w:val="center"/>
        <w:rPr>
          <w:rFonts w:ascii="Calibri" w:hAnsi="Calibri"/>
        </w:rPr>
      </w:pPr>
      <w:r>
        <w:rPr>
          <w:rFonts w:ascii="Calibri" w:hAnsi="Calibri"/>
          <w:noProof/>
          <w:lang w:val="es-AR" w:eastAsia="es-AR"/>
        </w:rPr>
        <w:drawing>
          <wp:inline distT="0" distB="0" distL="0" distR="0">
            <wp:extent cx="6130925" cy="2559685"/>
            <wp:effectExtent l="19050" t="19050" r="317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130925" cy="2559685"/>
                    </a:xfrm>
                    <a:prstGeom prst="rect">
                      <a:avLst/>
                    </a:prstGeom>
                    <a:noFill/>
                    <a:ln w="15875">
                      <a:solidFill>
                        <a:srgbClr val="000000"/>
                      </a:solidFill>
                      <a:miter lim="800000"/>
                      <a:headEnd/>
                      <a:tailEnd/>
                    </a:ln>
                  </pic:spPr>
                </pic:pic>
              </a:graphicData>
            </a:graphic>
          </wp:inline>
        </w:drawing>
      </w:r>
    </w:p>
    <w:p w:rsidR="0072688B" w:rsidRPr="001A0D1D" w:rsidRDefault="0072688B" w:rsidP="00E17EB3">
      <w:pPr>
        <w:suppressAutoHyphens/>
        <w:jc w:val="both"/>
        <w:rPr>
          <w:rFonts w:ascii="Calibri" w:hAnsi="Calibri"/>
          <w:sz w:val="20"/>
          <w:szCs w:val="20"/>
        </w:rPr>
      </w:pPr>
      <w:r w:rsidRPr="001A0D1D">
        <w:rPr>
          <w:rFonts w:ascii="Calibri" w:hAnsi="Calibri"/>
          <w:b/>
          <w:sz w:val="20"/>
          <w:szCs w:val="20"/>
        </w:rPr>
        <w:t>Fuente</w:t>
      </w:r>
      <w:r w:rsidRPr="001A0D1D">
        <w:rPr>
          <w:rFonts w:ascii="Calibri" w:hAnsi="Calibri"/>
          <w:sz w:val="20"/>
          <w:szCs w:val="20"/>
        </w:rPr>
        <w:t>: Secretaría de Hacienda en base información provista por las jurisdicciones, e INDEC</w:t>
      </w:r>
    </w:p>
    <w:p w:rsidR="005C784F" w:rsidRPr="001A0D1D" w:rsidRDefault="005C784F" w:rsidP="005C784F">
      <w:pPr>
        <w:suppressAutoHyphens/>
        <w:jc w:val="both"/>
        <w:rPr>
          <w:rFonts w:ascii="Calibri" w:hAnsi="Calibri" w:cs="Arial"/>
          <w:highlight w:val="yellow"/>
        </w:rPr>
      </w:pPr>
    </w:p>
    <w:p w:rsidR="005611C8" w:rsidRPr="00C668B6" w:rsidRDefault="00342489" w:rsidP="00C668B6">
      <w:pPr>
        <w:pStyle w:val="Ttulo1"/>
        <w:numPr>
          <w:ilvl w:val="0"/>
          <w:numId w:val="0"/>
        </w:numPr>
        <w:suppressAutoHyphens/>
        <w:spacing w:before="0" w:after="0"/>
        <w:rPr>
          <w:rFonts w:ascii="Calibri" w:hAnsi="Calibri" w:cs="Times New Roman"/>
          <w:color w:val="595959"/>
          <w:sz w:val="28"/>
          <w:szCs w:val="28"/>
        </w:rPr>
      </w:pPr>
      <w:r w:rsidRPr="001A0D1D">
        <w:rPr>
          <w:rFonts w:ascii="Calibri" w:hAnsi="Calibri"/>
          <w:b w:val="0"/>
          <w:bCs w:val="0"/>
        </w:rPr>
        <w:br w:type="page"/>
      </w:r>
      <w:bookmarkStart w:id="17" w:name="_Toc99450871"/>
      <w:r w:rsidR="005611C8" w:rsidRPr="00C668B6">
        <w:rPr>
          <w:rFonts w:ascii="Calibri" w:hAnsi="Calibri" w:cs="Times New Roman"/>
          <w:color w:val="595959"/>
          <w:sz w:val="28"/>
          <w:szCs w:val="28"/>
        </w:rPr>
        <w:lastRenderedPageBreak/>
        <w:t>ANEXO: Esquema AIF</w:t>
      </w:r>
      <w:bookmarkEnd w:id="17"/>
    </w:p>
    <w:p w:rsidR="00526C6D" w:rsidRPr="001A0D1D" w:rsidRDefault="00526C6D" w:rsidP="00B95BC6">
      <w:pPr>
        <w:pBdr>
          <w:top w:val="single" w:sz="4" w:space="1" w:color="auto"/>
        </w:pBdr>
        <w:suppressAutoHyphens/>
        <w:spacing w:before="240"/>
        <w:ind w:right="39"/>
        <w:jc w:val="center"/>
        <w:rPr>
          <w:rFonts w:ascii="Calibri" w:hAnsi="Calibri"/>
        </w:rPr>
      </w:pPr>
      <w:r w:rsidRPr="001A0D1D">
        <w:rPr>
          <w:rFonts w:ascii="Calibri" w:hAnsi="Calibri"/>
          <w:b/>
        </w:rPr>
        <w:t xml:space="preserve">Cuadro </w:t>
      </w:r>
      <w:r w:rsidR="003D5D8C" w:rsidRPr="001A0D1D">
        <w:rPr>
          <w:rFonts w:ascii="Calibri" w:hAnsi="Calibri"/>
          <w:b/>
        </w:rPr>
        <w:t>6</w:t>
      </w:r>
      <w:r w:rsidRPr="001A0D1D">
        <w:rPr>
          <w:rFonts w:ascii="Calibri" w:hAnsi="Calibri"/>
          <w:b/>
        </w:rPr>
        <w:t>.</w:t>
      </w:r>
      <w:r w:rsidRPr="001A0D1D">
        <w:rPr>
          <w:rFonts w:ascii="Calibri" w:hAnsi="Calibri"/>
        </w:rPr>
        <w:t xml:space="preserve"> Esquema reducido de AIF de la APNF. Base devengado.</w:t>
      </w:r>
    </w:p>
    <w:p w:rsidR="00526C6D" w:rsidRPr="001A0D1D" w:rsidRDefault="00526C6D" w:rsidP="00526C6D">
      <w:pPr>
        <w:suppressAutoHyphens/>
        <w:jc w:val="center"/>
        <w:rPr>
          <w:rFonts w:ascii="Calibri" w:hAnsi="Calibri"/>
        </w:rPr>
      </w:pPr>
      <w:r w:rsidRPr="001A0D1D">
        <w:rPr>
          <w:rFonts w:ascii="Calibri" w:hAnsi="Calibri"/>
        </w:rPr>
        <w:t>Trimestres I</w:t>
      </w:r>
      <w:r w:rsidR="005906FD" w:rsidRPr="001A0D1D">
        <w:rPr>
          <w:rFonts w:ascii="Calibri" w:hAnsi="Calibri"/>
        </w:rPr>
        <w:t>,</w:t>
      </w:r>
      <w:r w:rsidRPr="001A0D1D">
        <w:rPr>
          <w:rFonts w:ascii="Calibri" w:hAnsi="Calibri"/>
        </w:rPr>
        <w:t xml:space="preserve"> II</w:t>
      </w:r>
      <w:r w:rsidR="004B38A0" w:rsidRPr="001A0D1D">
        <w:rPr>
          <w:rFonts w:ascii="Calibri" w:hAnsi="Calibri"/>
        </w:rPr>
        <w:t>, III</w:t>
      </w:r>
      <w:r w:rsidR="005906FD" w:rsidRPr="001A0D1D">
        <w:rPr>
          <w:rFonts w:ascii="Calibri" w:hAnsi="Calibri"/>
        </w:rPr>
        <w:t xml:space="preserve"> y I</w:t>
      </w:r>
      <w:r w:rsidR="004B38A0" w:rsidRPr="001A0D1D">
        <w:rPr>
          <w:rFonts w:ascii="Calibri" w:hAnsi="Calibri"/>
        </w:rPr>
        <w:t>V</w:t>
      </w:r>
      <w:r w:rsidR="00EB6847" w:rsidRPr="001A0D1D">
        <w:rPr>
          <w:rFonts w:ascii="Calibri" w:hAnsi="Calibri"/>
        </w:rPr>
        <w:t xml:space="preserve"> sin acumular, y Acumulado </w:t>
      </w:r>
      <w:r w:rsidRPr="001A0D1D">
        <w:rPr>
          <w:rFonts w:ascii="Calibri" w:hAnsi="Calibri"/>
        </w:rPr>
        <w:t>20</w:t>
      </w:r>
      <w:r w:rsidR="0082736B">
        <w:rPr>
          <w:rFonts w:ascii="Calibri" w:hAnsi="Calibri"/>
        </w:rPr>
        <w:t>20</w:t>
      </w:r>
    </w:p>
    <w:p w:rsidR="00526C6D" w:rsidRPr="001A0D1D" w:rsidRDefault="00526C6D" w:rsidP="00526C6D">
      <w:pPr>
        <w:suppressAutoHyphens/>
        <w:spacing w:after="120"/>
        <w:jc w:val="center"/>
        <w:rPr>
          <w:rFonts w:ascii="Calibri" w:hAnsi="Calibri"/>
        </w:rPr>
      </w:pPr>
      <w:r w:rsidRPr="001A0D1D">
        <w:rPr>
          <w:rFonts w:ascii="Calibri" w:hAnsi="Calibri"/>
        </w:rPr>
        <w:t>En millones de pesos</w:t>
      </w:r>
    </w:p>
    <w:p w:rsidR="00A46EB3" w:rsidRPr="0010288A" w:rsidRDefault="009D7CB2" w:rsidP="00526C6D">
      <w:pPr>
        <w:jc w:val="center"/>
        <w:rPr>
          <w:rFonts w:ascii="Calibri" w:hAnsi="Calibri" w:cs="Arial"/>
        </w:rPr>
      </w:pPr>
      <w:r w:rsidRPr="00CD3EEB">
        <w:rPr>
          <w:noProof/>
          <w:lang w:val="es-AR" w:eastAsia="es-AR"/>
        </w:rPr>
        <w:drawing>
          <wp:inline distT="0" distB="0" distL="0" distR="0">
            <wp:extent cx="6118860" cy="660654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18860" cy="6606540"/>
                    </a:xfrm>
                    <a:prstGeom prst="rect">
                      <a:avLst/>
                    </a:prstGeom>
                    <a:noFill/>
                    <a:ln>
                      <a:noFill/>
                    </a:ln>
                  </pic:spPr>
                </pic:pic>
              </a:graphicData>
            </a:graphic>
          </wp:inline>
        </w:drawing>
      </w:r>
    </w:p>
    <w:p w:rsidR="004B38A0" w:rsidRDefault="004B38A0" w:rsidP="008F5FE4">
      <w:pPr>
        <w:suppressAutoHyphens/>
        <w:jc w:val="both"/>
        <w:rPr>
          <w:rFonts w:ascii="Calibri" w:hAnsi="Calibri"/>
        </w:rPr>
      </w:pPr>
      <w:r w:rsidRPr="001A0D1D">
        <w:rPr>
          <w:rFonts w:ascii="Calibri" w:hAnsi="Calibri"/>
          <w:b/>
          <w:sz w:val="20"/>
          <w:szCs w:val="20"/>
        </w:rPr>
        <w:t>Fuente</w:t>
      </w:r>
      <w:r w:rsidRPr="001A0D1D">
        <w:rPr>
          <w:rFonts w:ascii="Calibri" w:hAnsi="Calibri"/>
          <w:sz w:val="20"/>
          <w:szCs w:val="20"/>
        </w:rPr>
        <w:t xml:space="preserve">: </w:t>
      </w:r>
      <w:r>
        <w:rPr>
          <w:rFonts w:ascii="Calibri" w:hAnsi="Calibri"/>
          <w:sz w:val="20"/>
          <w:szCs w:val="20"/>
        </w:rPr>
        <w:t>Secretaria de Hacienda en base a información provista por las jurisdicciones</w:t>
      </w:r>
    </w:p>
    <w:sectPr w:rsidR="004B38A0" w:rsidSect="007A5580">
      <w:pgSz w:w="11907" w:h="16839" w:code="9"/>
      <w:pgMar w:top="1701" w:right="1134" w:bottom="1701"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76D" w:rsidRDefault="00CB376D">
      <w:r>
        <w:separator/>
      </w:r>
    </w:p>
  </w:endnote>
  <w:endnote w:type="continuationSeparator" w:id="0">
    <w:p w:rsidR="00CB376D" w:rsidRDefault="00CB3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Dotum">
    <w:altName w:val="돋움"/>
    <w:panose1 w:val="020B0600000101010101"/>
    <w:charset w:val="81"/>
    <w:family w:val="modern"/>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048" w:rsidRDefault="00FD5048" w:rsidP="009D6BF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FD5048" w:rsidRDefault="00FD5048" w:rsidP="006A33AF">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048" w:rsidRPr="001A0D1D" w:rsidRDefault="00FD5048" w:rsidP="006E1993">
    <w:pPr>
      <w:pStyle w:val="Piedepgina"/>
      <w:jc w:val="right"/>
      <w:rPr>
        <w:rFonts w:ascii="Calibri" w:hAnsi="Calibri"/>
        <w:color w:val="595959"/>
      </w:rPr>
    </w:pPr>
    <w:r w:rsidRPr="001A0D1D">
      <w:rPr>
        <w:rFonts w:ascii="Calibri" w:hAnsi="Calibri"/>
        <w:color w:val="595959"/>
      </w:rPr>
      <w:t>________________________________________________________________________________</w:t>
    </w:r>
  </w:p>
  <w:p w:rsidR="00FD5048" w:rsidRPr="001A0D1D" w:rsidRDefault="00FD5048" w:rsidP="007A5580">
    <w:pPr>
      <w:pStyle w:val="Piedepgina"/>
      <w:tabs>
        <w:tab w:val="clear" w:pos="4252"/>
        <w:tab w:val="clear" w:pos="8504"/>
        <w:tab w:val="right" w:pos="9639"/>
      </w:tabs>
      <w:jc w:val="right"/>
      <w:rPr>
        <w:rFonts w:ascii="Calibri" w:hAnsi="Calibri"/>
        <w:noProof/>
        <w:color w:val="595959"/>
        <w:sz w:val="18"/>
        <w:szCs w:val="18"/>
      </w:rPr>
    </w:pPr>
    <w:r w:rsidRPr="001A0D1D">
      <w:rPr>
        <w:rFonts w:ascii="Calibri" w:hAnsi="Calibri"/>
        <w:color w:val="595959"/>
      </w:rPr>
      <w:fldChar w:fldCharType="begin"/>
    </w:r>
    <w:r w:rsidRPr="001A0D1D">
      <w:rPr>
        <w:rFonts w:ascii="Calibri" w:hAnsi="Calibri"/>
        <w:color w:val="595959"/>
      </w:rPr>
      <w:instrText xml:space="preserve"> PAGE   \* MERGEFORMAT </w:instrText>
    </w:r>
    <w:r w:rsidRPr="001A0D1D">
      <w:rPr>
        <w:rFonts w:ascii="Calibri" w:hAnsi="Calibri"/>
        <w:color w:val="595959"/>
      </w:rPr>
      <w:fldChar w:fldCharType="separate"/>
    </w:r>
    <w:r w:rsidR="009D7CB2">
      <w:rPr>
        <w:rFonts w:ascii="Calibri" w:hAnsi="Calibri"/>
        <w:noProof/>
        <w:color w:val="595959"/>
      </w:rPr>
      <w:t>3</w:t>
    </w:r>
    <w:r w:rsidRPr="001A0D1D">
      <w:rPr>
        <w:rFonts w:ascii="Calibri" w:hAnsi="Calibri"/>
        <w:noProof/>
        <w:color w:val="595959"/>
      </w:rPr>
      <w:fldChar w:fldCharType="end"/>
    </w:r>
    <w:r w:rsidRPr="001A0D1D">
      <w:rPr>
        <w:rFonts w:ascii="Calibri" w:hAnsi="Calibri"/>
        <w:noProof/>
        <w:color w:val="595959"/>
      </w:rPr>
      <w:tab/>
    </w:r>
    <w:r w:rsidRPr="001A0D1D">
      <w:rPr>
        <w:rFonts w:ascii="Calibri" w:hAnsi="Calibri"/>
        <w:noProof/>
        <w:color w:val="595959"/>
        <w:sz w:val="18"/>
        <w:szCs w:val="18"/>
      </w:rPr>
      <w:t>INFORME DE COYUNTURA – I</w:t>
    </w:r>
    <w:r w:rsidR="00A57ED0" w:rsidRPr="001A0D1D">
      <w:rPr>
        <w:rFonts w:ascii="Calibri" w:hAnsi="Calibri"/>
        <w:noProof/>
        <w:color w:val="595959"/>
        <w:sz w:val="18"/>
        <w:szCs w:val="18"/>
      </w:rPr>
      <w:t>V</w:t>
    </w:r>
    <w:r w:rsidRPr="001A0D1D">
      <w:rPr>
        <w:rFonts w:ascii="Calibri" w:hAnsi="Calibri"/>
        <w:noProof/>
        <w:color w:val="595959"/>
        <w:sz w:val="18"/>
        <w:szCs w:val="18"/>
      </w:rPr>
      <w:t xml:space="preserve"> trimestre 20</w:t>
    </w:r>
    <w:r w:rsidR="00532533">
      <w:rPr>
        <w:rFonts w:ascii="Calibri" w:hAnsi="Calibri"/>
        <w:noProof/>
        <w:color w:val="595959"/>
        <w:sz w:val="18"/>
        <w:szCs w:val="18"/>
      </w:rPr>
      <w:t>20</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048" w:rsidRDefault="00FD5048">
    <w:pPr>
      <w:pStyle w:val="Piedepgina"/>
      <w:jc w:val="right"/>
    </w:pPr>
  </w:p>
  <w:p w:rsidR="00FD5048" w:rsidRDefault="00FD5048">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76D" w:rsidRDefault="00CB376D">
      <w:r>
        <w:separator/>
      </w:r>
    </w:p>
  </w:footnote>
  <w:footnote w:type="continuationSeparator" w:id="0">
    <w:p w:rsidR="00CB376D" w:rsidRDefault="00CB376D">
      <w:r>
        <w:continuationSeparator/>
      </w:r>
    </w:p>
  </w:footnote>
  <w:footnote w:id="1">
    <w:p w:rsidR="00FD5048" w:rsidRPr="001A0D1D" w:rsidRDefault="00FD5048" w:rsidP="00072F5C">
      <w:pPr>
        <w:pStyle w:val="Textonotapie"/>
        <w:jc w:val="both"/>
        <w:rPr>
          <w:rFonts w:ascii="Calibri" w:hAnsi="Calibri" w:cs="Calibri"/>
          <w:lang w:val="es-AR"/>
        </w:rPr>
      </w:pPr>
      <w:r>
        <w:rPr>
          <w:rStyle w:val="Refdenotaalpie"/>
        </w:rPr>
        <w:footnoteRef/>
      </w:r>
      <w:r>
        <w:t xml:space="preserve"> </w:t>
      </w:r>
      <w:r w:rsidRPr="001A0D1D">
        <w:rPr>
          <w:rFonts w:ascii="Calibri" w:hAnsi="Calibri" w:cs="Calibri"/>
        </w:rPr>
        <w:t xml:space="preserve">En algunas jurisdicciones la información presentada constituye un cierre provisorio que se actualizará en la medida que éstas divulguen su cierre definitivo. En atención a ello se destaca que el presente informe se efectúa con los datos de ejecución presupuestaria publicados al mes de </w:t>
      </w:r>
      <w:r w:rsidR="00BC4D70">
        <w:rPr>
          <w:rFonts w:ascii="Calibri" w:hAnsi="Calibri" w:cs="Calibri"/>
        </w:rPr>
        <w:t>mayo</w:t>
      </w:r>
      <w:r w:rsidRPr="001A0D1D">
        <w:rPr>
          <w:rFonts w:ascii="Calibri" w:hAnsi="Calibri" w:cs="Calibri"/>
        </w:rPr>
        <w:t xml:space="preserve"> de 20</w:t>
      </w:r>
      <w:r w:rsidR="00072F5C">
        <w:rPr>
          <w:rFonts w:ascii="Calibri" w:hAnsi="Calibri" w:cs="Calibri"/>
        </w:rPr>
        <w:t>2</w:t>
      </w:r>
      <w:r w:rsidR="00BC4D70">
        <w:rPr>
          <w:rFonts w:ascii="Calibri" w:hAnsi="Calibri" w:cs="Calibri"/>
        </w:rPr>
        <w:t>1</w:t>
      </w:r>
      <w:r w:rsidRPr="001A0D1D">
        <w:rPr>
          <w:rFonts w:ascii="Calibri" w:hAnsi="Calibri" w:cs="Calibri"/>
        </w:rPr>
        <w:t>.</w:t>
      </w:r>
    </w:p>
  </w:footnote>
  <w:footnote w:id="2">
    <w:p w:rsidR="00984BC3" w:rsidRDefault="00984BC3" w:rsidP="00984BC3">
      <w:pPr>
        <w:pStyle w:val="Textonotapie"/>
        <w:jc w:val="both"/>
      </w:pPr>
      <w:r>
        <w:rPr>
          <w:rStyle w:val="Refdenotaalpie"/>
        </w:rPr>
        <w:footnoteRef/>
      </w:r>
      <w:r>
        <w:t xml:space="preserve"> </w:t>
      </w:r>
      <w:r>
        <w:rPr>
          <w:rFonts w:ascii="Calibri" w:hAnsi="Calibri"/>
        </w:rPr>
        <w:t>Incluye Ingresos Tributarios Provinciales, No Tributarios, Contribuciones a la Seguridad Social, Rentas de la Propiedad, Venta de Bienes y Servicios, Recursos Propios de Capital y Disminución de Inversión Financiera.</w:t>
      </w:r>
    </w:p>
  </w:footnote>
  <w:footnote w:id="3">
    <w:p w:rsidR="005C400A" w:rsidRPr="001A0D1D" w:rsidRDefault="005C400A" w:rsidP="005C400A">
      <w:pPr>
        <w:pStyle w:val="Textonotapie"/>
        <w:jc w:val="both"/>
        <w:rPr>
          <w:rFonts w:ascii="Calibri" w:hAnsi="Calibri" w:cs="Calibri"/>
          <w:lang w:val="es-AR"/>
        </w:rPr>
      </w:pPr>
      <w:r w:rsidRPr="00EC2C2A">
        <w:rPr>
          <w:rStyle w:val="Refdenotaalpie"/>
          <w:rFonts w:ascii="Trebuchet MS" w:hAnsi="Trebuchet MS"/>
        </w:rPr>
        <w:footnoteRef/>
      </w:r>
      <w:r w:rsidRPr="00EC2C2A">
        <w:rPr>
          <w:rFonts w:ascii="Trebuchet MS" w:hAnsi="Trebuchet MS"/>
        </w:rPr>
        <w:t xml:space="preserve"> </w:t>
      </w:r>
      <w:r w:rsidRPr="001A0D1D">
        <w:rPr>
          <w:rFonts w:ascii="Calibri" w:hAnsi="Calibri" w:cs="Calibri"/>
          <w:lang w:val="es-AR"/>
        </w:rPr>
        <w:t>Las Provincias que mantienen bajo su jurisdicción los gastos previsionales, es decir, que no transfirieron sus Cajas de Jubilaciones y Pensiones al Gobierno Nacional son: Buenos Aires, Córdoba, Corrientes, Chaco, Chubut, Entre Ríos, Formosa, La Pampa, Misiones, Neuquén, Santa Cruz, Santa Fe y Tierra del Fuego.</w:t>
      </w:r>
    </w:p>
  </w:footnote>
  <w:footnote w:id="4">
    <w:p w:rsidR="00FC1FB2" w:rsidRPr="00FC1FB2" w:rsidRDefault="00FC1FB2" w:rsidP="00FC1FB2">
      <w:pPr>
        <w:pStyle w:val="Textonotapie"/>
        <w:jc w:val="both"/>
        <w:rPr>
          <w:rFonts w:ascii="Calibri" w:hAnsi="Calibri" w:cs="Calibri"/>
        </w:rPr>
      </w:pPr>
      <w:r w:rsidRPr="00FC1FB2">
        <w:rPr>
          <w:rStyle w:val="Refdenotaalpie"/>
          <w:rFonts w:ascii="Calibri" w:hAnsi="Calibri" w:cs="Calibri"/>
        </w:rPr>
        <w:footnoteRef/>
      </w:r>
      <w:r w:rsidRPr="00FC1FB2">
        <w:rPr>
          <w:rFonts w:ascii="Calibri" w:hAnsi="Calibri" w:cs="Calibri"/>
        </w:rPr>
        <w:t xml:space="preserve"> Adicionalmente, las Provincias pudieron morigerar la caída de la Inversión Real Directa por una mayor disponibilidad de recursos procedentes del Uso del Crédito respecto de 2019, en que las necesidades estacionales de caja y la refinanciación de pasivos absorbieron una mayor cuota para esa finalidad. Un caso particular lo constituye la Provincia de Río Negro, que en 2020 sostuvo el 60% de la Inversión Real Directa con recursos (fuente financiera) del fideicomiso “Plan Castello”, constituido a dicho efecto mediante la colocación de títulos públicos en el Mercado Internacional de capitales en 2017.</w:t>
      </w:r>
    </w:p>
  </w:footnote>
  <w:footnote w:id="5">
    <w:p w:rsidR="00870DEA" w:rsidRPr="001A0D1D" w:rsidRDefault="00870DEA" w:rsidP="00870DEA">
      <w:pPr>
        <w:pStyle w:val="Textonotapie"/>
        <w:rPr>
          <w:rFonts w:ascii="Calibri" w:hAnsi="Calibri" w:cs="Calibri"/>
          <w:lang w:val="es-AR"/>
        </w:rPr>
      </w:pPr>
      <w:r w:rsidRPr="00F730F4">
        <w:rPr>
          <w:rStyle w:val="Refdenotaalpie"/>
          <w:rFonts w:ascii="Trebuchet MS" w:hAnsi="Trebuchet MS"/>
        </w:rPr>
        <w:footnoteRef/>
      </w:r>
      <w:r w:rsidRPr="00F730F4">
        <w:rPr>
          <w:rFonts w:ascii="Trebuchet MS" w:hAnsi="Trebuchet MS"/>
        </w:rPr>
        <w:t xml:space="preserve"> </w:t>
      </w:r>
      <w:r w:rsidRPr="001A0D1D">
        <w:rPr>
          <w:rFonts w:ascii="Calibri" w:hAnsi="Calibri" w:cs="Calibri"/>
        </w:rPr>
        <w:t>Cabe señalar que en aquellas Provincias que han transferido sus cajas previsionales registran egresos en la función Seguridad Social derivados de otras prestaciones tales como pensiones, retiros y otras pensiones no contributivas.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048" w:rsidRDefault="009D7CB2" w:rsidP="00EC0703">
    <w:pPr>
      <w:pStyle w:val="Encabezado"/>
      <w:ind w:left="-851"/>
    </w:pPr>
    <w:r w:rsidRPr="001A0D1D">
      <w:rPr>
        <w:noProof/>
        <w:lang w:val="es-AR" w:eastAsia="es-AR"/>
      </w:rPr>
      <w:drawing>
        <wp:inline distT="0" distB="0" distL="0" distR="0">
          <wp:extent cx="2667000" cy="126492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000" cy="12649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F0DB2"/>
    <w:multiLevelType w:val="multilevel"/>
    <w:tmpl w:val="868E970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1" w15:restartNumberingAfterBreak="0">
    <w:nsid w:val="0B352F19"/>
    <w:multiLevelType w:val="hybridMultilevel"/>
    <w:tmpl w:val="3864D354"/>
    <w:lvl w:ilvl="0" w:tplc="20583782">
      <w:start w:val="1"/>
      <w:numFmt w:val="upp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0EE347A9"/>
    <w:multiLevelType w:val="hybridMultilevel"/>
    <w:tmpl w:val="3E9AF40E"/>
    <w:lvl w:ilvl="0" w:tplc="51D4B48E">
      <w:start w:val="1"/>
      <w:numFmt w:val="upperRoman"/>
      <w:pStyle w:val="Ttulo1"/>
      <w:lvlText w:val="%1."/>
      <w:lvlJc w:val="left"/>
      <w:pPr>
        <w:ind w:left="1080" w:hanging="720"/>
      </w:pPr>
      <w:rPr>
        <w:rFonts w:cs="Times New Roman" w:hint="default"/>
      </w:rPr>
    </w:lvl>
    <w:lvl w:ilvl="1" w:tplc="2C0A0019">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3" w15:restartNumberingAfterBreak="0">
    <w:nsid w:val="128F3515"/>
    <w:multiLevelType w:val="hybridMultilevel"/>
    <w:tmpl w:val="896EE49A"/>
    <w:lvl w:ilvl="0" w:tplc="8B746B58">
      <w:start w:val="1"/>
      <w:numFmt w:val="upperRoman"/>
      <w:lvlText w:val="%1."/>
      <w:lvlJc w:val="left"/>
      <w:pPr>
        <w:ind w:left="1080" w:hanging="720"/>
      </w:pPr>
      <w:rPr>
        <w:rFonts w:hint="default"/>
        <w:sz w:val="28"/>
        <w:szCs w:val="28"/>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14AD73D6"/>
    <w:multiLevelType w:val="hybridMultilevel"/>
    <w:tmpl w:val="F698E8C2"/>
    <w:lvl w:ilvl="0" w:tplc="20583782">
      <w:start w:val="1"/>
      <w:numFmt w:val="upp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1946552F"/>
    <w:multiLevelType w:val="hybridMultilevel"/>
    <w:tmpl w:val="5C0820F6"/>
    <w:lvl w:ilvl="0" w:tplc="57C0D33C">
      <w:start w:val="2"/>
      <w:numFmt w:val="decimal"/>
      <w:lvlText w:val="%1"/>
      <w:lvlJc w:val="left"/>
      <w:pPr>
        <w:ind w:left="720" w:hanging="360"/>
      </w:pPr>
      <w:rPr>
        <w:rFonts w:hint="default"/>
        <w:sz w:val="28"/>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15:restartNumberingAfterBreak="0">
    <w:nsid w:val="1FEC4807"/>
    <w:multiLevelType w:val="hybridMultilevel"/>
    <w:tmpl w:val="BE2AF50E"/>
    <w:lvl w:ilvl="0" w:tplc="C6C655E4">
      <w:start w:val="1"/>
      <w:numFmt w:val="upperRoman"/>
      <w:lvlText w:val="%1."/>
      <w:lvlJc w:val="left"/>
      <w:pPr>
        <w:tabs>
          <w:tab w:val="num" w:pos="1080"/>
        </w:tabs>
        <w:ind w:left="1080" w:hanging="720"/>
      </w:pPr>
      <w:rPr>
        <w:rFonts w:ascii="Times New Roman" w:eastAsia="Times New Roman" w:hAnsi="Times New Roman" w:cs="Times New Roman"/>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222233ED"/>
    <w:multiLevelType w:val="hybridMultilevel"/>
    <w:tmpl w:val="27C2ABFC"/>
    <w:lvl w:ilvl="0" w:tplc="A0AA1858">
      <w:start w:val="3"/>
      <w:numFmt w:val="bullet"/>
      <w:lvlText w:val="-"/>
      <w:lvlJc w:val="left"/>
      <w:pPr>
        <w:tabs>
          <w:tab w:val="num" w:pos="720"/>
        </w:tabs>
        <w:ind w:left="720" w:hanging="360"/>
      </w:pPr>
      <w:rPr>
        <w:rFonts w:ascii="Trebuchet MS" w:eastAsia="Times New Roman" w:hAnsi="Trebuchet MS"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C35D7C"/>
    <w:multiLevelType w:val="hybridMultilevel"/>
    <w:tmpl w:val="89809932"/>
    <w:lvl w:ilvl="0" w:tplc="4FACE1AE">
      <w:start w:val="4"/>
      <w:numFmt w:val="decimal"/>
      <w:lvlText w:val="%1."/>
      <w:lvlJc w:val="left"/>
      <w:pPr>
        <w:ind w:left="720" w:hanging="360"/>
      </w:pPr>
      <w:rPr>
        <w:rFonts w:hint="default"/>
        <w:b/>
        <w:sz w:val="32"/>
        <w:u w:val="singl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15:restartNumberingAfterBreak="0">
    <w:nsid w:val="277A2EE8"/>
    <w:multiLevelType w:val="hybridMultilevel"/>
    <w:tmpl w:val="EF80C268"/>
    <w:lvl w:ilvl="0" w:tplc="2C0A000F">
      <w:start w:val="2"/>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15:restartNumberingAfterBreak="0">
    <w:nsid w:val="2B7B4F80"/>
    <w:multiLevelType w:val="multilevel"/>
    <w:tmpl w:val="868E970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11" w15:restartNumberingAfterBreak="0">
    <w:nsid w:val="30573EAB"/>
    <w:multiLevelType w:val="multilevel"/>
    <w:tmpl w:val="09101C56"/>
    <w:lvl w:ilvl="0">
      <w:start w:val="2"/>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415932E7"/>
    <w:multiLevelType w:val="hybridMultilevel"/>
    <w:tmpl w:val="387AFDA0"/>
    <w:lvl w:ilvl="0" w:tplc="C656859C">
      <w:start w:val="1"/>
      <w:numFmt w:val="upp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425A40DC"/>
    <w:multiLevelType w:val="multilevel"/>
    <w:tmpl w:val="E03019DC"/>
    <w:lvl w:ilvl="0">
      <w:start w:val="4"/>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4" w15:restartNumberingAfterBreak="0">
    <w:nsid w:val="45173A00"/>
    <w:multiLevelType w:val="multilevel"/>
    <w:tmpl w:val="868E970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15" w15:restartNumberingAfterBreak="0">
    <w:nsid w:val="4B5B16BA"/>
    <w:multiLevelType w:val="multilevel"/>
    <w:tmpl w:val="32543F38"/>
    <w:lvl w:ilvl="0">
      <w:start w:val="2"/>
      <w:numFmt w:val="decimal"/>
      <w:lvlText w:val="%1."/>
      <w:lvlJc w:val="left"/>
      <w:pPr>
        <w:ind w:left="510" w:hanging="51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 w15:restartNumberingAfterBreak="0">
    <w:nsid w:val="50005D37"/>
    <w:multiLevelType w:val="hybridMultilevel"/>
    <w:tmpl w:val="896EE49A"/>
    <w:lvl w:ilvl="0" w:tplc="8B746B58">
      <w:start w:val="1"/>
      <w:numFmt w:val="upperRoman"/>
      <w:lvlText w:val="%1."/>
      <w:lvlJc w:val="left"/>
      <w:pPr>
        <w:ind w:left="1080" w:hanging="720"/>
      </w:pPr>
      <w:rPr>
        <w:rFonts w:hint="default"/>
        <w:sz w:val="28"/>
        <w:szCs w:val="28"/>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7" w15:restartNumberingAfterBreak="0">
    <w:nsid w:val="569019BA"/>
    <w:multiLevelType w:val="hybridMultilevel"/>
    <w:tmpl w:val="DE029C9A"/>
    <w:lvl w:ilvl="0" w:tplc="E1924BF8">
      <w:start w:val="1"/>
      <w:numFmt w:val="upperRoman"/>
      <w:lvlText w:val="%1.2"/>
      <w:lvlJc w:val="left"/>
      <w:pPr>
        <w:ind w:left="720" w:hanging="360"/>
      </w:pPr>
      <w:rPr>
        <w:rFonts w:hint="default"/>
        <w:b/>
        <w:color w:val="595959"/>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8" w15:restartNumberingAfterBreak="0">
    <w:nsid w:val="5A0E194B"/>
    <w:multiLevelType w:val="multilevel"/>
    <w:tmpl w:val="EF74FBC2"/>
    <w:lvl w:ilvl="0">
      <w:start w:val="2"/>
      <w:numFmt w:val="decimal"/>
      <w:lvlText w:val="%1"/>
      <w:lvlJc w:val="left"/>
      <w:pPr>
        <w:ind w:left="660" w:hanging="6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8C77811"/>
    <w:multiLevelType w:val="hybridMultilevel"/>
    <w:tmpl w:val="95BE3E16"/>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0" w15:restartNumberingAfterBreak="0">
    <w:nsid w:val="6CE01F79"/>
    <w:multiLevelType w:val="hybridMultilevel"/>
    <w:tmpl w:val="8C04E32C"/>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1" w15:restartNumberingAfterBreak="0">
    <w:nsid w:val="6D226DB2"/>
    <w:multiLevelType w:val="hybridMultilevel"/>
    <w:tmpl w:val="54CEC820"/>
    <w:lvl w:ilvl="0" w:tplc="A4F82D46">
      <w:start w:val="1"/>
      <w:numFmt w:val="upperRoman"/>
      <w:lvlText w:val="%1."/>
      <w:lvlJc w:val="left"/>
      <w:pPr>
        <w:ind w:left="1080" w:hanging="72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2" w15:restartNumberingAfterBreak="0">
    <w:nsid w:val="6E256192"/>
    <w:multiLevelType w:val="hybridMultilevel"/>
    <w:tmpl w:val="7B165E00"/>
    <w:lvl w:ilvl="0" w:tplc="2F3692BA">
      <w:start w:val="2"/>
      <w:numFmt w:val="bullet"/>
      <w:lvlText w:val=""/>
      <w:lvlJc w:val="left"/>
      <w:pPr>
        <w:ind w:left="720" w:hanging="360"/>
      </w:pPr>
      <w:rPr>
        <w:rFonts w:ascii="Symbol" w:eastAsia="Times New Roman" w:hAnsi="Symbol" w:cs="Arial" w:hint="default"/>
        <w:sz w:val="28"/>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3" w15:restartNumberingAfterBreak="0">
    <w:nsid w:val="6F9C1339"/>
    <w:multiLevelType w:val="hybridMultilevel"/>
    <w:tmpl w:val="23A4BC1A"/>
    <w:lvl w:ilvl="0" w:tplc="BE5ED522">
      <w:start w:val="3"/>
      <w:numFmt w:val="bullet"/>
      <w:lvlText w:val="-"/>
      <w:lvlJc w:val="left"/>
      <w:pPr>
        <w:tabs>
          <w:tab w:val="num" w:pos="720"/>
        </w:tabs>
        <w:ind w:left="720" w:hanging="360"/>
      </w:pPr>
      <w:rPr>
        <w:rFonts w:ascii="Trebuchet MS" w:eastAsia="Times New Roman" w:hAnsi="Trebuchet MS"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20876B7"/>
    <w:multiLevelType w:val="multilevel"/>
    <w:tmpl w:val="868E970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25" w15:restartNumberingAfterBreak="0">
    <w:nsid w:val="75FC0305"/>
    <w:multiLevelType w:val="hybridMultilevel"/>
    <w:tmpl w:val="08424C2E"/>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start w:val="1"/>
      <w:numFmt w:val="bullet"/>
      <w:lvlText w:val="o"/>
      <w:lvlJc w:val="left"/>
      <w:pPr>
        <w:ind w:left="3600" w:hanging="360"/>
      </w:pPr>
      <w:rPr>
        <w:rFonts w:ascii="Courier New" w:hAnsi="Courier New" w:cs="Courier New" w:hint="default"/>
      </w:rPr>
    </w:lvl>
    <w:lvl w:ilvl="5" w:tplc="2C0A0005">
      <w:start w:val="1"/>
      <w:numFmt w:val="bullet"/>
      <w:lvlText w:val=""/>
      <w:lvlJc w:val="left"/>
      <w:pPr>
        <w:ind w:left="4320" w:hanging="360"/>
      </w:pPr>
      <w:rPr>
        <w:rFonts w:ascii="Wingdings" w:hAnsi="Wingdings" w:hint="default"/>
      </w:rPr>
    </w:lvl>
    <w:lvl w:ilvl="6" w:tplc="2C0A0001">
      <w:start w:val="1"/>
      <w:numFmt w:val="bullet"/>
      <w:lvlText w:val=""/>
      <w:lvlJc w:val="left"/>
      <w:pPr>
        <w:ind w:left="5040" w:hanging="360"/>
      </w:pPr>
      <w:rPr>
        <w:rFonts w:ascii="Symbol" w:hAnsi="Symbol" w:hint="default"/>
      </w:rPr>
    </w:lvl>
    <w:lvl w:ilvl="7" w:tplc="2C0A0003">
      <w:start w:val="1"/>
      <w:numFmt w:val="bullet"/>
      <w:lvlText w:val="o"/>
      <w:lvlJc w:val="left"/>
      <w:pPr>
        <w:ind w:left="5760" w:hanging="360"/>
      </w:pPr>
      <w:rPr>
        <w:rFonts w:ascii="Courier New" w:hAnsi="Courier New" w:cs="Courier New" w:hint="default"/>
      </w:rPr>
    </w:lvl>
    <w:lvl w:ilvl="8" w:tplc="2C0A0005">
      <w:start w:val="1"/>
      <w:numFmt w:val="bullet"/>
      <w:lvlText w:val=""/>
      <w:lvlJc w:val="left"/>
      <w:pPr>
        <w:ind w:left="6480" w:hanging="360"/>
      </w:pPr>
      <w:rPr>
        <w:rFonts w:ascii="Wingdings" w:hAnsi="Wingdings" w:hint="default"/>
      </w:rPr>
    </w:lvl>
  </w:abstractNum>
  <w:abstractNum w:abstractNumId="26" w15:restartNumberingAfterBreak="0">
    <w:nsid w:val="790B7DB7"/>
    <w:multiLevelType w:val="hybridMultilevel"/>
    <w:tmpl w:val="F0C2DE84"/>
    <w:lvl w:ilvl="0" w:tplc="BD0624F4">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7" w15:restartNumberingAfterBreak="0">
    <w:nsid w:val="7C354131"/>
    <w:multiLevelType w:val="hybridMultilevel"/>
    <w:tmpl w:val="BF68A070"/>
    <w:lvl w:ilvl="0" w:tplc="2C0A000F">
      <w:start w:val="4"/>
      <w:numFmt w:val="decimal"/>
      <w:lvlText w:val="%1."/>
      <w:lvlJc w:val="left"/>
      <w:pPr>
        <w:ind w:left="720" w:hanging="36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7"/>
  </w:num>
  <w:num w:numId="2">
    <w:abstractNumId w:val="23"/>
  </w:num>
  <w:num w:numId="3">
    <w:abstractNumId w:val="4"/>
  </w:num>
  <w:num w:numId="4">
    <w:abstractNumId w:val="1"/>
  </w:num>
  <w:num w:numId="5">
    <w:abstractNumId w:val="6"/>
  </w:num>
  <w:num w:numId="6">
    <w:abstractNumId w:val="12"/>
  </w:num>
  <w:num w:numId="7">
    <w:abstractNumId w:val="11"/>
  </w:num>
  <w:num w:numId="8">
    <w:abstractNumId w:val="20"/>
  </w:num>
  <w:num w:numId="9">
    <w:abstractNumId w:val="8"/>
  </w:num>
  <w:num w:numId="10">
    <w:abstractNumId w:val="19"/>
  </w:num>
  <w:num w:numId="11">
    <w:abstractNumId w:val="3"/>
  </w:num>
  <w:num w:numId="12">
    <w:abstractNumId w:val="16"/>
  </w:num>
  <w:num w:numId="13">
    <w:abstractNumId w:val="14"/>
  </w:num>
  <w:num w:numId="14">
    <w:abstractNumId w:val="9"/>
  </w:num>
  <w:num w:numId="15">
    <w:abstractNumId w:val="27"/>
  </w:num>
  <w:num w:numId="16">
    <w:abstractNumId w:val="13"/>
  </w:num>
  <w:num w:numId="17">
    <w:abstractNumId w:val="15"/>
  </w:num>
  <w:num w:numId="18">
    <w:abstractNumId w:val="18"/>
  </w:num>
  <w:num w:numId="19">
    <w:abstractNumId w:val="0"/>
  </w:num>
  <w:num w:numId="20">
    <w:abstractNumId w:val="24"/>
  </w:num>
  <w:num w:numId="21">
    <w:abstractNumId w:val="10"/>
  </w:num>
  <w:num w:numId="22">
    <w:abstractNumId w:val="22"/>
  </w:num>
  <w:num w:numId="23">
    <w:abstractNumId w:val="17"/>
  </w:num>
  <w:num w:numId="24">
    <w:abstractNumId w:val="5"/>
  </w:num>
  <w:num w:numId="25">
    <w:abstractNumId w:val="21"/>
  </w:num>
  <w:num w:numId="26">
    <w:abstractNumId w:val="26"/>
  </w:num>
  <w:num w:numId="27">
    <w:abstractNumId w:val="25"/>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 w:numId="35">
    <w:abstractNumId w:val="2"/>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rawingGridHorizontalSpacing w:val="120"/>
  <w:displayHorizontalDrawingGridEvery w:val="2"/>
  <w:noPunctuationKerning/>
  <w:characterSpacingControl w:val="doNotCompress"/>
  <w:hdrShapeDefaults>
    <o:shapedefaults v:ext="edit" spidmax="3074">
      <o:colormru v:ext="edit" colors="#06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703"/>
    <w:rsid w:val="00001352"/>
    <w:rsid w:val="00005B8D"/>
    <w:rsid w:val="00006105"/>
    <w:rsid w:val="00006415"/>
    <w:rsid w:val="0000691A"/>
    <w:rsid w:val="00006FFE"/>
    <w:rsid w:val="000070C0"/>
    <w:rsid w:val="000079FC"/>
    <w:rsid w:val="00007FE3"/>
    <w:rsid w:val="00010650"/>
    <w:rsid w:val="00011A9E"/>
    <w:rsid w:val="00012BAB"/>
    <w:rsid w:val="00012CF8"/>
    <w:rsid w:val="0001442A"/>
    <w:rsid w:val="0001557D"/>
    <w:rsid w:val="00015A46"/>
    <w:rsid w:val="000164AD"/>
    <w:rsid w:val="00016B65"/>
    <w:rsid w:val="00016DBA"/>
    <w:rsid w:val="00017CD6"/>
    <w:rsid w:val="00017E9B"/>
    <w:rsid w:val="000203BE"/>
    <w:rsid w:val="000211ED"/>
    <w:rsid w:val="00021206"/>
    <w:rsid w:val="0002129C"/>
    <w:rsid w:val="00021922"/>
    <w:rsid w:val="000226DD"/>
    <w:rsid w:val="00022CA8"/>
    <w:rsid w:val="00023A01"/>
    <w:rsid w:val="00025416"/>
    <w:rsid w:val="0002551C"/>
    <w:rsid w:val="00026545"/>
    <w:rsid w:val="000269B4"/>
    <w:rsid w:val="000275FC"/>
    <w:rsid w:val="0002793A"/>
    <w:rsid w:val="00027996"/>
    <w:rsid w:val="00027D12"/>
    <w:rsid w:val="0003061E"/>
    <w:rsid w:val="000314F5"/>
    <w:rsid w:val="0003359A"/>
    <w:rsid w:val="00033A94"/>
    <w:rsid w:val="00035625"/>
    <w:rsid w:val="00036127"/>
    <w:rsid w:val="0004003A"/>
    <w:rsid w:val="00041505"/>
    <w:rsid w:val="00041DFE"/>
    <w:rsid w:val="00041E13"/>
    <w:rsid w:val="00042637"/>
    <w:rsid w:val="000427DC"/>
    <w:rsid w:val="00042BD7"/>
    <w:rsid w:val="00044950"/>
    <w:rsid w:val="0004598E"/>
    <w:rsid w:val="00045B2E"/>
    <w:rsid w:val="00045B8F"/>
    <w:rsid w:val="00046559"/>
    <w:rsid w:val="000467AA"/>
    <w:rsid w:val="00046A52"/>
    <w:rsid w:val="00047C4B"/>
    <w:rsid w:val="00050137"/>
    <w:rsid w:val="0005057E"/>
    <w:rsid w:val="000511E3"/>
    <w:rsid w:val="00052871"/>
    <w:rsid w:val="000545D3"/>
    <w:rsid w:val="00054D63"/>
    <w:rsid w:val="000564A2"/>
    <w:rsid w:val="00061BF8"/>
    <w:rsid w:val="000621E3"/>
    <w:rsid w:val="0006246B"/>
    <w:rsid w:val="00063496"/>
    <w:rsid w:val="00063BAC"/>
    <w:rsid w:val="00064922"/>
    <w:rsid w:val="0006515E"/>
    <w:rsid w:val="0006663A"/>
    <w:rsid w:val="00070F4E"/>
    <w:rsid w:val="000713BA"/>
    <w:rsid w:val="000716F2"/>
    <w:rsid w:val="00072F5C"/>
    <w:rsid w:val="0007326B"/>
    <w:rsid w:val="00074044"/>
    <w:rsid w:val="0007490F"/>
    <w:rsid w:val="00075A36"/>
    <w:rsid w:val="00075EFE"/>
    <w:rsid w:val="00077161"/>
    <w:rsid w:val="00081E2C"/>
    <w:rsid w:val="00082151"/>
    <w:rsid w:val="00082260"/>
    <w:rsid w:val="000834B3"/>
    <w:rsid w:val="0008397B"/>
    <w:rsid w:val="00083E05"/>
    <w:rsid w:val="00084676"/>
    <w:rsid w:val="000847BD"/>
    <w:rsid w:val="000847FA"/>
    <w:rsid w:val="00085373"/>
    <w:rsid w:val="00085652"/>
    <w:rsid w:val="00086845"/>
    <w:rsid w:val="000871EA"/>
    <w:rsid w:val="00087761"/>
    <w:rsid w:val="00087782"/>
    <w:rsid w:val="000902EC"/>
    <w:rsid w:val="000906E1"/>
    <w:rsid w:val="00090C89"/>
    <w:rsid w:val="00090F74"/>
    <w:rsid w:val="00090FA1"/>
    <w:rsid w:val="00091393"/>
    <w:rsid w:val="00091876"/>
    <w:rsid w:val="00092001"/>
    <w:rsid w:val="00092275"/>
    <w:rsid w:val="000923A1"/>
    <w:rsid w:val="00092BA9"/>
    <w:rsid w:val="000932B2"/>
    <w:rsid w:val="00094442"/>
    <w:rsid w:val="00094B24"/>
    <w:rsid w:val="00095083"/>
    <w:rsid w:val="00096670"/>
    <w:rsid w:val="000A0343"/>
    <w:rsid w:val="000A05E5"/>
    <w:rsid w:val="000A06CC"/>
    <w:rsid w:val="000A0B99"/>
    <w:rsid w:val="000A2758"/>
    <w:rsid w:val="000A2CA7"/>
    <w:rsid w:val="000B0A1E"/>
    <w:rsid w:val="000B1367"/>
    <w:rsid w:val="000B2101"/>
    <w:rsid w:val="000B2607"/>
    <w:rsid w:val="000B2B81"/>
    <w:rsid w:val="000B4674"/>
    <w:rsid w:val="000B5E54"/>
    <w:rsid w:val="000B742E"/>
    <w:rsid w:val="000B7969"/>
    <w:rsid w:val="000B7C53"/>
    <w:rsid w:val="000C0E18"/>
    <w:rsid w:val="000C0F3D"/>
    <w:rsid w:val="000C0F59"/>
    <w:rsid w:val="000C10A7"/>
    <w:rsid w:val="000C1E8B"/>
    <w:rsid w:val="000C2071"/>
    <w:rsid w:val="000C30A4"/>
    <w:rsid w:val="000C5318"/>
    <w:rsid w:val="000C53CB"/>
    <w:rsid w:val="000C59A5"/>
    <w:rsid w:val="000C5CD8"/>
    <w:rsid w:val="000C6A50"/>
    <w:rsid w:val="000C731C"/>
    <w:rsid w:val="000D0B19"/>
    <w:rsid w:val="000D18C6"/>
    <w:rsid w:val="000D22B2"/>
    <w:rsid w:val="000D2D26"/>
    <w:rsid w:val="000D3BF3"/>
    <w:rsid w:val="000D400B"/>
    <w:rsid w:val="000D65EE"/>
    <w:rsid w:val="000E25FC"/>
    <w:rsid w:val="000E3F48"/>
    <w:rsid w:val="000E4CDD"/>
    <w:rsid w:val="000E540C"/>
    <w:rsid w:val="000E64CD"/>
    <w:rsid w:val="000E64E1"/>
    <w:rsid w:val="000E7AE1"/>
    <w:rsid w:val="000F1BA9"/>
    <w:rsid w:val="000F240E"/>
    <w:rsid w:val="000F24B7"/>
    <w:rsid w:val="000F2D3C"/>
    <w:rsid w:val="000F2F68"/>
    <w:rsid w:val="000F344A"/>
    <w:rsid w:val="000F3529"/>
    <w:rsid w:val="000F408F"/>
    <w:rsid w:val="000F49D8"/>
    <w:rsid w:val="000F5F4B"/>
    <w:rsid w:val="000F67AF"/>
    <w:rsid w:val="000F7364"/>
    <w:rsid w:val="000F7545"/>
    <w:rsid w:val="000F75E0"/>
    <w:rsid w:val="000F78CC"/>
    <w:rsid w:val="000F7F22"/>
    <w:rsid w:val="0010084A"/>
    <w:rsid w:val="00100B69"/>
    <w:rsid w:val="0010288A"/>
    <w:rsid w:val="00103FEB"/>
    <w:rsid w:val="001043AB"/>
    <w:rsid w:val="00104EBF"/>
    <w:rsid w:val="00105BB9"/>
    <w:rsid w:val="00105E53"/>
    <w:rsid w:val="001060CF"/>
    <w:rsid w:val="001067DD"/>
    <w:rsid w:val="00107328"/>
    <w:rsid w:val="00107891"/>
    <w:rsid w:val="00107C3F"/>
    <w:rsid w:val="00110612"/>
    <w:rsid w:val="00111F64"/>
    <w:rsid w:val="0011236E"/>
    <w:rsid w:val="001123E3"/>
    <w:rsid w:val="00113927"/>
    <w:rsid w:val="0011526E"/>
    <w:rsid w:val="00115E59"/>
    <w:rsid w:val="001172B1"/>
    <w:rsid w:val="001172DC"/>
    <w:rsid w:val="00121185"/>
    <w:rsid w:val="00121C03"/>
    <w:rsid w:val="00122A4D"/>
    <w:rsid w:val="00123DE9"/>
    <w:rsid w:val="001243E4"/>
    <w:rsid w:val="00125230"/>
    <w:rsid w:val="00125744"/>
    <w:rsid w:val="001257EC"/>
    <w:rsid w:val="00125CD7"/>
    <w:rsid w:val="00125ED4"/>
    <w:rsid w:val="00126563"/>
    <w:rsid w:val="0013022B"/>
    <w:rsid w:val="00130DA9"/>
    <w:rsid w:val="0013102A"/>
    <w:rsid w:val="00131F12"/>
    <w:rsid w:val="0013284F"/>
    <w:rsid w:val="00133208"/>
    <w:rsid w:val="00133542"/>
    <w:rsid w:val="00134726"/>
    <w:rsid w:val="00134856"/>
    <w:rsid w:val="00134974"/>
    <w:rsid w:val="0013582A"/>
    <w:rsid w:val="00136054"/>
    <w:rsid w:val="001364E3"/>
    <w:rsid w:val="001406C7"/>
    <w:rsid w:val="00141780"/>
    <w:rsid w:val="0014255D"/>
    <w:rsid w:val="00143254"/>
    <w:rsid w:val="00143832"/>
    <w:rsid w:val="00143F8F"/>
    <w:rsid w:val="00144CC2"/>
    <w:rsid w:val="001456F2"/>
    <w:rsid w:val="0014578F"/>
    <w:rsid w:val="00145BC0"/>
    <w:rsid w:val="001475FC"/>
    <w:rsid w:val="00150B5C"/>
    <w:rsid w:val="001511A7"/>
    <w:rsid w:val="001517FD"/>
    <w:rsid w:val="0015186B"/>
    <w:rsid w:val="001527CA"/>
    <w:rsid w:val="00156FFF"/>
    <w:rsid w:val="00157CC0"/>
    <w:rsid w:val="0016101B"/>
    <w:rsid w:val="0016114F"/>
    <w:rsid w:val="00161670"/>
    <w:rsid w:val="00161778"/>
    <w:rsid w:val="00161AED"/>
    <w:rsid w:val="001620F1"/>
    <w:rsid w:val="001621B5"/>
    <w:rsid w:val="001621D6"/>
    <w:rsid w:val="0016334B"/>
    <w:rsid w:val="00163884"/>
    <w:rsid w:val="00163932"/>
    <w:rsid w:val="00164D49"/>
    <w:rsid w:val="00165E4A"/>
    <w:rsid w:val="001661A5"/>
    <w:rsid w:val="00167C01"/>
    <w:rsid w:val="0017104B"/>
    <w:rsid w:val="001724AD"/>
    <w:rsid w:val="0017348B"/>
    <w:rsid w:val="00174CC3"/>
    <w:rsid w:val="001774DE"/>
    <w:rsid w:val="00177F4B"/>
    <w:rsid w:val="001800F4"/>
    <w:rsid w:val="00180939"/>
    <w:rsid w:val="00182377"/>
    <w:rsid w:val="001846DD"/>
    <w:rsid w:val="00184B79"/>
    <w:rsid w:val="001850B4"/>
    <w:rsid w:val="001859A6"/>
    <w:rsid w:val="00185D70"/>
    <w:rsid w:val="001904AB"/>
    <w:rsid w:val="00190D88"/>
    <w:rsid w:val="00192007"/>
    <w:rsid w:val="0019380C"/>
    <w:rsid w:val="00195050"/>
    <w:rsid w:val="00195233"/>
    <w:rsid w:val="001953A5"/>
    <w:rsid w:val="00195CD8"/>
    <w:rsid w:val="001966F3"/>
    <w:rsid w:val="00196AE4"/>
    <w:rsid w:val="00197117"/>
    <w:rsid w:val="00197334"/>
    <w:rsid w:val="00197B14"/>
    <w:rsid w:val="001A0136"/>
    <w:rsid w:val="001A0B1E"/>
    <w:rsid w:val="001A0D1D"/>
    <w:rsid w:val="001A27C6"/>
    <w:rsid w:val="001A2A39"/>
    <w:rsid w:val="001A2CC0"/>
    <w:rsid w:val="001A329C"/>
    <w:rsid w:val="001A3613"/>
    <w:rsid w:val="001A4CD4"/>
    <w:rsid w:val="001A5164"/>
    <w:rsid w:val="001A5D5E"/>
    <w:rsid w:val="001A6591"/>
    <w:rsid w:val="001A6C07"/>
    <w:rsid w:val="001B1D44"/>
    <w:rsid w:val="001B2015"/>
    <w:rsid w:val="001B2734"/>
    <w:rsid w:val="001B2812"/>
    <w:rsid w:val="001B3F6A"/>
    <w:rsid w:val="001B416C"/>
    <w:rsid w:val="001B473E"/>
    <w:rsid w:val="001B4996"/>
    <w:rsid w:val="001B635D"/>
    <w:rsid w:val="001B678B"/>
    <w:rsid w:val="001C106E"/>
    <w:rsid w:val="001C10A8"/>
    <w:rsid w:val="001C34A2"/>
    <w:rsid w:val="001C3D57"/>
    <w:rsid w:val="001C41D3"/>
    <w:rsid w:val="001C50A1"/>
    <w:rsid w:val="001C52FB"/>
    <w:rsid w:val="001C75E6"/>
    <w:rsid w:val="001C7D32"/>
    <w:rsid w:val="001D009C"/>
    <w:rsid w:val="001D0819"/>
    <w:rsid w:val="001D0CEC"/>
    <w:rsid w:val="001D2CFC"/>
    <w:rsid w:val="001D3FCE"/>
    <w:rsid w:val="001D44A6"/>
    <w:rsid w:val="001E04AC"/>
    <w:rsid w:val="001E0AE3"/>
    <w:rsid w:val="001E0D63"/>
    <w:rsid w:val="001E1A41"/>
    <w:rsid w:val="001E28D6"/>
    <w:rsid w:val="001E2F81"/>
    <w:rsid w:val="001E32DA"/>
    <w:rsid w:val="001E4421"/>
    <w:rsid w:val="001E633F"/>
    <w:rsid w:val="001E7B71"/>
    <w:rsid w:val="001F0535"/>
    <w:rsid w:val="001F1126"/>
    <w:rsid w:val="001F2807"/>
    <w:rsid w:val="001F5144"/>
    <w:rsid w:val="001F5180"/>
    <w:rsid w:val="001F5832"/>
    <w:rsid w:val="001F59B8"/>
    <w:rsid w:val="001F5BFF"/>
    <w:rsid w:val="001F7449"/>
    <w:rsid w:val="00201088"/>
    <w:rsid w:val="00201F75"/>
    <w:rsid w:val="00203719"/>
    <w:rsid w:val="00203B04"/>
    <w:rsid w:val="00203CB7"/>
    <w:rsid w:val="00207C77"/>
    <w:rsid w:val="002107EF"/>
    <w:rsid w:val="00210B9F"/>
    <w:rsid w:val="00210BD4"/>
    <w:rsid w:val="00214496"/>
    <w:rsid w:val="002163CF"/>
    <w:rsid w:val="00216A5C"/>
    <w:rsid w:val="00217CF0"/>
    <w:rsid w:val="00217E10"/>
    <w:rsid w:val="0022176F"/>
    <w:rsid w:val="00222706"/>
    <w:rsid w:val="00225BFD"/>
    <w:rsid w:val="00225DB8"/>
    <w:rsid w:val="00225F5A"/>
    <w:rsid w:val="002269EE"/>
    <w:rsid w:val="002276CC"/>
    <w:rsid w:val="00227F8B"/>
    <w:rsid w:val="0023281C"/>
    <w:rsid w:val="00233EC8"/>
    <w:rsid w:val="002343DD"/>
    <w:rsid w:val="0023519E"/>
    <w:rsid w:val="00235617"/>
    <w:rsid w:val="00235F8D"/>
    <w:rsid w:val="002362F7"/>
    <w:rsid w:val="0023737F"/>
    <w:rsid w:val="00240B00"/>
    <w:rsid w:val="00241A70"/>
    <w:rsid w:val="002424D6"/>
    <w:rsid w:val="00242F4D"/>
    <w:rsid w:val="00243CD3"/>
    <w:rsid w:val="00243E20"/>
    <w:rsid w:val="00245B93"/>
    <w:rsid w:val="0024613E"/>
    <w:rsid w:val="002475CB"/>
    <w:rsid w:val="00247D18"/>
    <w:rsid w:val="0025017C"/>
    <w:rsid w:val="0025105E"/>
    <w:rsid w:val="00251426"/>
    <w:rsid w:val="00251DD5"/>
    <w:rsid w:val="002542DD"/>
    <w:rsid w:val="00255D6F"/>
    <w:rsid w:val="00257D02"/>
    <w:rsid w:val="00257E8D"/>
    <w:rsid w:val="00260846"/>
    <w:rsid w:val="002639F8"/>
    <w:rsid w:val="00264434"/>
    <w:rsid w:val="00266CA4"/>
    <w:rsid w:val="00266FB0"/>
    <w:rsid w:val="00271512"/>
    <w:rsid w:val="00271A56"/>
    <w:rsid w:val="00273867"/>
    <w:rsid w:val="00273F73"/>
    <w:rsid w:val="002748EA"/>
    <w:rsid w:val="002757E0"/>
    <w:rsid w:val="00276D4F"/>
    <w:rsid w:val="00276E8D"/>
    <w:rsid w:val="00281CE8"/>
    <w:rsid w:val="00281EC6"/>
    <w:rsid w:val="00284A2B"/>
    <w:rsid w:val="00285681"/>
    <w:rsid w:val="00286133"/>
    <w:rsid w:val="002877F9"/>
    <w:rsid w:val="002879BA"/>
    <w:rsid w:val="00287A53"/>
    <w:rsid w:val="00290D8A"/>
    <w:rsid w:val="00291407"/>
    <w:rsid w:val="00291927"/>
    <w:rsid w:val="002920C7"/>
    <w:rsid w:val="00294709"/>
    <w:rsid w:val="00294C76"/>
    <w:rsid w:val="002968CA"/>
    <w:rsid w:val="002970FF"/>
    <w:rsid w:val="002979B1"/>
    <w:rsid w:val="00297D27"/>
    <w:rsid w:val="002A027D"/>
    <w:rsid w:val="002A0C31"/>
    <w:rsid w:val="002A1082"/>
    <w:rsid w:val="002A2B8F"/>
    <w:rsid w:val="002A4DEC"/>
    <w:rsid w:val="002A52F9"/>
    <w:rsid w:val="002A579B"/>
    <w:rsid w:val="002A5992"/>
    <w:rsid w:val="002A63A6"/>
    <w:rsid w:val="002A708A"/>
    <w:rsid w:val="002A7432"/>
    <w:rsid w:val="002B0C3F"/>
    <w:rsid w:val="002B0FD2"/>
    <w:rsid w:val="002B159F"/>
    <w:rsid w:val="002B1800"/>
    <w:rsid w:val="002B2C88"/>
    <w:rsid w:val="002B365B"/>
    <w:rsid w:val="002B409A"/>
    <w:rsid w:val="002B4417"/>
    <w:rsid w:val="002B4FD3"/>
    <w:rsid w:val="002B58F8"/>
    <w:rsid w:val="002B63C2"/>
    <w:rsid w:val="002B6DCB"/>
    <w:rsid w:val="002C063B"/>
    <w:rsid w:val="002C0C6E"/>
    <w:rsid w:val="002C30C0"/>
    <w:rsid w:val="002C4801"/>
    <w:rsid w:val="002C7192"/>
    <w:rsid w:val="002C757C"/>
    <w:rsid w:val="002D079B"/>
    <w:rsid w:val="002D11B2"/>
    <w:rsid w:val="002D1B4A"/>
    <w:rsid w:val="002D1F4A"/>
    <w:rsid w:val="002D3B02"/>
    <w:rsid w:val="002D6202"/>
    <w:rsid w:val="002E1C89"/>
    <w:rsid w:val="002E2245"/>
    <w:rsid w:val="002E4FDD"/>
    <w:rsid w:val="002E53DD"/>
    <w:rsid w:val="002E56DF"/>
    <w:rsid w:val="002E5A84"/>
    <w:rsid w:val="002E773F"/>
    <w:rsid w:val="002F0750"/>
    <w:rsid w:val="002F0D69"/>
    <w:rsid w:val="002F17A8"/>
    <w:rsid w:val="002F3699"/>
    <w:rsid w:val="002F3D2E"/>
    <w:rsid w:val="002F3F54"/>
    <w:rsid w:val="002F423B"/>
    <w:rsid w:val="002F457C"/>
    <w:rsid w:val="002F5A90"/>
    <w:rsid w:val="002F664A"/>
    <w:rsid w:val="002F7077"/>
    <w:rsid w:val="002F7C66"/>
    <w:rsid w:val="003011BE"/>
    <w:rsid w:val="0030170F"/>
    <w:rsid w:val="00302A8A"/>
    <w:rsid w:val="00303CAD"/>
    <w:rsid w:val="0030564C"/>
    <w:rsid w:val="00306DE6"/>
    <w:rsid w:val="00307489"/>
    <w:rsid w:val="00307F09"/>
    <w:rsid w:val="00310C4F"/>
    <w:rsid w:val="00310E37"/>
    <w:rsid w:val="00311795"/>
    <w:rsid w:val="00312E4D"/>
    <w:rsid w:val="003130DF"/>
    <w:rsid w:val="00314638"/>
    <w:rsid w:val="003177F9"/>
    <w:rsid w:val="00317CF5"/>
    <w:rsid w:val="0032005D"/>
    <w:rsid w:val="003220F1"/>
    <w:rsid w:val="00323F04"/>
    <w:rsid w:val="00324ED3"/>
    <w:rsid w:val="00325C71"/>
    <w:rsid w:val="0032742A"/>
    <w:rsid w:val="0032786F"/>
    <w:rsid w:val="0033263E"/>
    <w:rsid w:val="00332A3D"/>
    <w:rsid w:val="00333050"/>
    <w:rsid w:val="0033341F"/>
    <w:rsid w:val="00333739"/>
    <w:rsid w:val="00334450"/>
    <w:rsid w:val="0033486B"/>
    <w:rsid w:val="0033688E"/>
    <w:rsid w:val="0033712A"/>
    <w:rsid w:val="00337858"/>
    <w:rsid w:val="00337F1C"/>
    <w:rsid w:val="003418EF"/>
    <w:rsid w:val="00341972"/>
    <w:rsid w:val="00342489"/>
    <w:rsid w:val="00343140"/>
    <w:rsid w:val="0035102D"/>
    <w:rsid w:val="00351D3A"/>
    <w:rsid w:val="003522E2"/>
    <w:rsid w:val="003547CB"/>
    <w:rsid w:val="003555D9"/>
    <w:rsid w:val="003555ED"/>
    <w:rsid w:val="003556FB"/>
    <w:rsid w:val="00356525"/>
    <w:rsid w:val="00356770"/>
    <w:rsid w:val="00356E82"/>
    <w:rsid w:val="00357337"/>
    <w:rsid w:val="003576B3"/>
    <w:rsid w:val="00361D4D"/>
    <w:rsid w:val="00361EA2"/>
    <w:rsid w:val="00363417"/>
    <w:rsid w:val="003638F8"/>
    <w:rsid w:val="003648C1"/>
    <w:rsid w:val="00365420"/>
    <w:rsid w:val="00366013"/>
    <w:rsid w:val="003701C6"/>
    <w:rsid w:val="00371929"/>
    <w:rsid w:val="00371EEE"/>
    <w:rsid w:val="003731D4"/>
    <w:rsid w:val="00373296"/>
    <w:rsid w:val="00375F4F"/>
    <w:rsid w:val="003803A5"/>
    <w:rsid w:val="00380A20"/>
    <w:rsid w:val="00380B9D"/>
    <w:rsid w:val="00381C26"/>
    <w:rsid w:val="0038216D"/>
    <w:rsid w:val="00385303"/>
    <w:rsid w:val="00386C95"/>
    <w:rsid w:val="0038772E"/>
    <w:rsid w:val="003928FB"/>
    <w:rsid w:val="00394C19"/>
    <w:rsid w:val="003958EB"/>
    <w:rsid w:val="003959F9"/>
    <w:rsid w:val="00396471"/>
    <w:rsid w:val="00396939"/>
    <w:rsid w:val="00397AC5"/>
    <w:rsid w:val="003A0E1F"/>
    <w:rsid w:val="003A104D"/>
    <w:rsid w:val="003A1791"/>
    <w:rsid w:val="003A1AAE"/>
    <w:rsid w:val="003A33B8"/>
    <w:rsid w:val="003A3C10"/>
    <w:rsid w:val="003A3CEF"/>
    <w:rsid w:val="003A3F08"/>
    <w:rsid w:val="003A5E0F"/>
    <w:rsid w:val="003A6641"/>
    <w:rsid w:val="003A7AAF"/>
    <w:rsid w:val="003B0419"/>
    <w:rsid w:val="003B10F9"/>
    <w:rsid w:val="003B1E04"/>
    <w:rsid w:val="003B46E0"/>
    <w:rsid w:val="003B563A"/>
    <w:rsid w:val="003B57CB"/>
    <w:rsid w:val="003B580F"/>
    <w:rsid w:val="003B5C2A"/>
    <w:rsid w:val="003B5F9E"/>
    <w:rsid w:val="003B6237"/>
    <w:rsid w:val="003B7DFA"/>
    <w:rsid w:val="003C1011"/>
    <w:rsid w:val="003C1617"/>
    <w:rsid w:val="003C1C2B"/>
    <w:rsid w:val="003C1CF7"/>
    <w:rsid w:val="003C2D8D"/>
    <w:rsid w:val="003C2F27"/>
    <w:rsid w:val="003C3057"/>
    <w:rsid w:val="003C41F3"/>
    <w:rsid w:val="003C643D"/>
    <w:rsid w:val="003C67D0"/>
    <w:rsid w:val="003C6954"/>
    <w:rsid w:val="003C7AD2"/>
    <w:rsid w:val="003D0ED9"/>
    <w:rsid w:val="003D1670"/>
    <w:rsid w:val="003D3383"/>
    <w:rsid w:val="003D45AC"/>
    <w:rsid w:val="003D4804"/>
    <w:rsid w:val="003D528A"/>
    <w:rsid w:val="003D5D8C"/>
    <w:rsid w:val="003D62FC"/>
    <w:rsid w:val="003D7DBF"/>
    <w:rsid w:val="003E0613"/>
    <w:rsid w:val="003E1849"/>
    <w:rsid w:val="003E1E09"/>
    <w:rsid w:val="003E2A9B"/>
    <w:rsid w:val="003E4066"/>
    <w:rsid w:val="003E4995"/>
    <w:rsid w:val="003E4E78"/>
    <w:rsid w:val="003E598D"/>
    <w:rsid w:val="003E5A2E"/>
    <w:rsid w:val="003E6324"/>
    <w:rsid w:val="003E6B3C"/>
    <w:rsid w:val="003E7914"/>
    <w:rsid w:val="003E7BD8"/>
    <w:rsid w:val="003F0ACD"/>
    <w:rsid w:val="003F0C8A"/>
    <w:rsid w:val="003F13F9"/>
    <w:rsid w:val="003F192F"/>
    <w:rsid w:val="003F35E2"/>
    <w:rsid w:val="003F40E2"/>
    <w:rsid w:val="003F448B"/>
    <w:rsid w:val="003F4D99"/>
    <w:rsid w:val="003F5E5E"/>
    <w:rsid w:val="00401621"/>
    <w:rsid w:val="00401C89"/>
    <w:rsid w:val="004024B6"/>
    <w:rsid w:val="00402816"/>
    <w:rsid w:val="00404194"/>
    <w:rsid w:val="00404D45"/>
    <w:rsid w:val="00405309"/>
    <w:rsid w:val="00406761"/>
    <w:rsid w:val="00407E61"/>
    <w:rsid w:val="00410561"/>
    <w:rsid w:val="0041119A"/>
    <w:rsid w:val="00411D5E"/>
    <w:rsid w:val="00413865"/>
    <w:rsid w:val="00413AED"/>
    <w:rsid w:val="00414689"/>
    <w:rsid w:val="00415721"/>
    <w:rsid w:val="004159EC"/>
    <w:rsid w:val="0041621A"/>
    <w:rsid w:val="004162FA"/>
    <w:rsid w:val="00416749"/>
    <w:rsid w:val="0041746C"/>
    <w:rsid w:val="004200DB"/>
    <w:rsid w:val="0042074B"/>
    <w:rsid w:val="004210BE"/>
    <w:rsid w:val="004212DC"/>
    <w:rsid w:val="00421FE5"/>
    <w:rsid w:val="004235B6"/>
    <w:rsid w:val="00424428"/>
    <w:rsid w:val="00424591"/>
    <w:rsid w:val="004251D2"/>
    <w:rsid w:val="004254AF"/>
    <w:rsid w:val="00426A96"/>
    <w:rsid w:val="00430150"/>
    <w:rsid w:val="004302E2"/>
    <w:rsid w:val="0043228F"/>
    <w:rsid w:val="00433D0B"/>
    <w:rsid w:val="0043585D"/>
    <w:rsid w:val="004376A3"/>
    <w:rsid w:val="0043792D"/>
    <w:rsid w:val="00437C07"/>
    <w:rsid w:val="004416CE"/>
    <w:rsid w:val="004416FE"/>
    <w:rsid w:val="00441BE5"/>
    <w:rsid w:val="00441E93"/>
    <w:rsid w:val="00441F3F"/>
    <w:rsid w:val="00442891"/>
    <w:rsid w:val="004437F8"/>
    <w:rsid w:val="0044442A"/>
    <w:rsid w:val="00444842"/>
    <w:rsid w:val="00444F5B"/>
    <w:rsid w:val="0044597A"/>
    <w:rsid w:val="004459AC"/>
    <w:rsid w:val="00445E58"/>
    <w:rsid w:val="0044701B"/>
    <w:rsid w:val="00450198"/>
    <w:rsid w:val="00451159"/>
    <w:rsid w:val="00451CA4"/>
    <w:rsid w:val="00451D86"/>
    <w:rsid w:val="00451E75"/>
    <w:rsid w:val="0045271A"/>
    <w:rsid w:val="004530BE"/>
    <w:rsid w:val="00453A11"/>
    <w:rsid w:val="00455601"/>
    <w:rsid w:val="0045678B"/>
    <w:rsid w:val="00456B2D"/>
    <w:rsid w:val="00456C53"/>
    <w:rsid w:val="00456D7A"/>
    <w:rsid w:val="00456DAE"/>
    <w:rsid w:val="004571C8"/>
    <w:rsid w:val="00457319"/>
    <w:rsid w:val="00460CAA"/>
    <w:rsid w:val="00460E04"/>
    <w:rsid w:val="00461A18"/>
    <w:rsid w:val="004646C5"/>
    <w:rsid w:val="00464CA0"/>
    <w:rsid w:val="00464DC4"/>
    <w:rsid w:val="00466478"/>
    <w:rsid w:val="004665E1"/>
    <w:rsid w:val="004669AA"/>
    <w:rsid w:val="00471109"/>
    <w:rsid w:val="00471669"/>
    <w:rsid w:val="00471E5C"/>
    <w:rsid w:val="00471FBE"/>
    <w:rsid w:val="004720A2"/>
    <w:rsid w:val="004722B0"/>
    <w:rsid w:val="004733A7"/>
    <w:rsid w:val="004750AA"/>
    <w:rsid w:val="0047553D"/>
    <w:rsid w:val="00475DA7"/>
    <w:rsid w:val="00475F85"/>
    <w:rsid w:val="00477921"/>
    <w:rsid w:val="00481012"/>
    <w:rsid w:val="004816FD"/>
    <w:rsid w:val="00481766"/>
    <w:rsid w:val="00482FCC"/>
    <w:rsid w:val="004841D8"/>
    <w:rsid w:val="004842EC"/>
    <w:rsid w:val="00484716"/>
    <w:rsid w:val="0048597B"/>
    <w:rsid w:val="004859AD"/>
    <w:rsid w:val="00486AFF"/>
    <w:rsid w:val="00486D50"/>
    <w:rsid w:val="00487BB7"/>
    <w:rsid w:val="00487DAE"/>
    <w:rsid w:val="00493989"/>
    <w:rsid w:val="00494A22"/>
    <w:rsid w:val="00494EC6"/>
    <w:rsid w:val="00495675"/>
    <w:rsid w:val="00496158"/>
    <w:rsid w:val="00496335"/>
    <w:rsid w:val="004A0152"/>
    <w:rsid w:val="004A12EB"/>
    <w:rsid w:val="004A18AD"/>
    <w:rsid w:val="004A27F0"/>
    <w:rsid w:val="004A311B"/>
    <w:rsid w:val="004A39B2"/>
    <w:rsid w:val="004A5EDC"/>
    <w:rsid w:val="004A6C86"/>
    <w:rsid w:val="004B1644"/>
    <w:rsid w:val="004B1D84"/>
    <w:rsid w:val="004B2100"/>
    <w:rsid w:val="004B2393"/>
    <w:rsid w:val="004B3229"/>
    <w:rsid w:val="004B38A0"/>
    <w:rsid w:val="004B4551"/>
    <w:rsid w:val="004B46C3"/>
    <w:rsid w:val="004B4F10"/>
    <w:rsid w:val="004B5ADF"/>
    <w:rsid w:val="004B5E24"/>
    <w:rsid w:val="004B63C9"/>
    <w:rsid w:val="004B67D8"/>
    <w:rsid w:val="004C1F89"/>
    <w:rsid w:val="004C267F"/>
    <w:rsid w:val="004C3254"/>
    <w:rsid w:val="004C40E1"/>
    <w:rsid w:val="004C45DF"/>
    <w:rsid w:val="004C4DE5"/>
    <w:rsid w:val="004C74CB"/>
    <w:rsid w:val="004D0EA4"/>
    <w:rsid w:val="004D166D"/>
    <w:rsid w:val="004D1C65"/>
    <w:rsid w:val="004D1F63"/>
    <w:rsid w:val="004D29F9"/>
    <w:rsid w:val="004D2EC7"/>
    <w:rsid w:val="004D3434"/>
    <w:rsid w:val="004D34EF"/>
    <w:rsid w:val="004D3701"/>
    <w:rsid w:val="004D39AC"/>
    <w:rsid w:val="004D3C7D"/>
    <w:rsid w:val="004D470E"/>
    <w:rsid w:val="004D4A4D"/>
    <w:rsid w:val="004D50D9"/>
    <w:rsid w:val="004D63AD"/>
    <w:rsid w:val="004D71C8"/>
    <w:rsid w:val="004D7A9A"/>
    <w:rsid w:val="004E117D"/>
    <w:rsid w:val="004E1C20"/>
    <w:rsid w:val="004E1F93"/>
    <w:rsid w:val="004E3330"/>
    <w:rsid w:val="004E35F6"/>
    <w:rsid w:val="004E3BD9"/>
    <w:rsid w:val="004E4AAA"/>
    <w:rsid w:val="004E54D0"/>
    <w:rsid w:val="004E709E"/>
    <w:rsid w:val="004F18CF"/>
    <w:rsid w:val="004F27B2"/>
    <w:rsid w:val="004F3227"/>
    <w:rsid w:val="004F34F2"/>
    <w:rsid w:val="004F621C"/>
    <w:rsid w:val="004F6682"/>
    <w:rsid w:val="00500429"/>
    <w:rsid w:val="00500765"/>
    <w:rsid w:val="005007E9"/>
    <w:rsid w:val="00500A6B"/>
    <w:rsid w:val="005013B3"/>
    <w:rsid w:val="0050183B"/>
    <w:rsid w:val="00503006"/>
    <w:rsid w:val="00505A8B"/>
    <w:rsid w:val="00505E65"/>
    <w:rsid w:val="0050627A"/>
    <w:rsid w:val="00506932"/>
    <w:rsid w:val="00506D35"/>
    <w:rsid w:val="005073B4"/>
    <w:rsid w:val="00510B3D"/>
    <w:rsid w:val="00511475"/>
    <w:rsid w:val="0051212E"/>
    <w:rsid w:val="00513333"/>
    <w:rsid w:val="0051405A"/>
    <w:rsid w:val="00514976"/>
    <w:rsid w:val="00514BA6"/>
    <w:rsid w:val="00514FDA"/>
    <w:rsid w:val="00516A6C"/>
    <w:rsid w:val="005174DE"/>
    <w:rsid w:val="00520AB0"/>
    <w:rsid w:val="0052266B"/>
    <w:rsid w:val="00524005"/>
    <w:rsid w:val="0052424B"/>
    <w:rsid w:val="005252EC"/>
    <w:rsid w:val="00525683"/>
    <w:rsid w:val="005257A9"/>
    <w:rsid w:val="005257E4"/>
    <w:rsid w:val="00526140"/>
    <w:rsid w:val="00526443"/>
    <w:rsid w:val="0052675E"/>
    <w:rsid w:val="005268B9"/>
    <w:rsid w:val="005268D2"/>
    <w:rsid w:val="00526C6D"/>
    <w:rsid w:val="00526CD7"/>
    <w:rsid w:val="00526EB4"/>
    <w:rsid w:val="00531222"/>
    <w:rsid w:val="0053174F"/>
    <w:rsid w:val="00531D2F"/>
    <w:rsid w:val="005321A7"/>
    <w:rsid w:val="00532484"/>
    <w:rsid w:val="00532533"/>
    <w:rsid w:val="00532582"/>
    <w:rsid w:val="00532929"/>
    <w:rsid w:val="00532B9D"/>
    <w:rsid w:val="00534960"/>
    <w:rsid w:val="00535825"/>
    <w:rsid w:val="0053663A"/>
    <w:rsid w:val="00536E11"/>
    <w:rsid w:val="00537B8F"/>
    <w:rsid w:val="00537F10"/>
    <w:rsid w:val="00541CF8"/>
    <w:rsid w:val="00543D40"/>
    <w:rsid w:val="00545278"/>
    <w:rsid w:val="005455C3"/>
    <w:rsid w:val="0054569E"/>
    <w:rsid w:val="00545F84"/>
    <w:rsid w:val="005468F3"/>
    <w:rsid w:val="00546C69"/>
    <w:rsid w:val="00547224"/>
    <w:rsid w:val="00547271"/>
    <w:rsid w:val="0055063C"/>
    <w:rsid w:val="005508FA"/>
    <w:rsid w:val="00550FFB"/>
    <w:rsid w:val="0055182C"/>
    <w:rsid w:val="00555E90"/>
    <w:rsid w:val="0055603F"/>
    <w:rsid w:val="00557218"/>
    <w:rsid w:val="005572C8"/>
    <w:rsid w:val="005611C8"/>
    <w:rsid w:val="00561ABD"/>
    <w:rsid w:val="00562CEB"/>
    <w:rsid w:val="00563706"/>
    <w:rsid w:val="00563C6E"/>
    <w:rsid w:val="0056428D"/>
    <w:rsid w:val="005654E4"/>
    <w:rsid w:val="00565EEF"/>
    <w:rsid w:val="005666F3"/>
    <w:rsid w:val="00566BC9"/>
    <w:rsid w:val="00566C03"/>
    <w:rsid w:val="0056770F"/>
    <w:rsid w:val="0057006B"/>
    <w:rsid w:val="00570191"/>
    <w:rsid w:val="005704AA"/>
    <w:rsid w:val="005723DE"/>
    <w:rsid w:val="00572408"/>
    <w:rsid w:val="00572BC6"/>
    <w:rsid w:val="00572D35"/>
    <w:rsid w:val="005733BE"/>
    <w:rsid w:val="00575FFD"/>
    <w:rsid w:val="005764AE"/>
    <w:rsid w:val="00576511"/>
    <w:rsid w:val="005769B8"/>
    <w:rsid w:val="00577047"/>
    <w:rsid w:val="00577A09"/>
    <w:rsid w:val="00577D87"/>
    <w:rsid w:val="0058065F"/>
    <w:rsid w:val="00580860"/>
    <w:rsid w:val="00580A7E"/>
    <w:rsid w:val="00580AC6"/>
    <w:rsid w:val="005814EC"/>
    <w:rsid w:val="00581FE8"/>
    <w:rsid w:val="00583935"/>
    <w:rsid w:val="00584543"/>
    <w:rsid w:val="00584839"/>
    <w:rsid w:val="00585188"/>
    <w:rsid w:val="00585887"/>
    <w:rsid w:val="005861C6"/>
    <w:rsid w:val="005868B3"/>
    <w:rsid w:val="00586A53"/>
    <w:rsid w:val="005906FD"/>
    <w:rsid w:val="005910EC"/>
    <w:rsid w:val="005921A8"/>
    <w:rsid w:val="00593E8A"/>
    <w:rsid w:val="005945BC"/>
    <w:rsid w:val="005A0D7E"/>
    <w:rsid w:val="005A104D"/>
    <w:rsid w:val="005A1549"/>
    <w:rsid w:val="005A1791"/>
    <w:rsid w:val="005A1A98"/>
    <w:rsid w:val="005A5C9A"/>
    <w:rsid w:val="005A6909"/>
    <w:rsid w:val="005A6E64"/>
    <w:rsid w:val="005A71CD"/>
    <w:rsid w:val="005B0F94"/>
    <w:rsid w:val="005B170B"/>
    <w:rsid w:val="005B36A7"/>
    <w:rsid w:val="005B6C5E"/>
    <w:rsid w:val="005B7231"/>
    <w:rsid w:val="005C149F"/>
    <w:rsid w:val="005C15D3"/>
    <w:rsid w:val="005C242C"/>
    <w:rsid w:val="005C2FA8"/>
    <w:rsid w:val="005C3BA0"/>
    <w:rsid w:val="005C3C58"/>
    <w:rsid w:val="005C3F51"/>
    <w:rsid w:val="005C400A"/>
    <w:rsid w:val="005C50DD"/>
    <w:rsid w:val="005C5E1D"/>
    <w:rsid w:val="005C6958"/>
    <w:rsid w:val="005C6C62"/>
    <w:rsid w:val="005C7251"/>
    <w:rsid w:val="005C784F"/>
    <w:rsid w:val="005D1912"/>
    <w:rsid w:val="005D4D0E"/>
    <w:rsid w:val="005D6AF6"/>
    <w:rsid w:val="005D77D1"/>
    <w:rsid w:val="005D7F5A"/>
    <w:rsid w:val="005E0912"/>
    <w:rsid w:val="005E1739"/>
    <w:rsid w:val="005E1830"/>
    <w:rsid w:val="005E1DDC"/>
    <w:rsid w:val="005E2297"/>
    <w:rsid w:val="005E28B7"/>
    <w:rsid w:val="005E2A28"/>
    <w:rsid w:val="005E3072"/>
    <w:rsid w:val="005E40DE"/>
    <w:rsid w:val="005E55DD"/>
    <w:rsid w:val="005E6435"/>
    <w:rsid w:val="005E66AF"/>
    <w:rsid w:val="005E6A09"/>
    <w:rsid w:val="005E6B79"/>
    <w:rsid w:val="005E70B8"/>
    <w:rsid w:val="005F0994"/>
    <w:rsid w:val="005F13EA"/>
    <w:rsid w:val="005F173D"/>
    <w:rsid w:val="005F187B"/>
    <w:rsid w:val="005F23BB"/>
    <w:rsid w:val="005F2E7F"/>
    <w:rsid w:val="005F2F48"/>
    <w:rsid w:val="005F4C45"/>
    <w:rsid w:val="005F55B4"/>
    <w:rsid w:val="005F56F4"/>
    <w:rsid w:val="005F678B"/>
    <w:rsid w:val="005F6EC9"/>
    <w:rsid w:val="00600782"/>
    <w:rsid w:val="00601474"/>
    <w:rsid w:val="00601691"/>
    <w:rsid w:val="006016D6"/>
    <w:rsid w:val="00603705"/>
    <w:rsid w:val="00604B8A"/>
    <w:rsid w:val="00605430"/>
    <w:rsid w:val="0060588A"/>
    <w:rsid w:val="00607BE0"/>
    <w:rsid w:val="00610328"/>
    <w:rsid w:val="00610FDA"/>
    <w:rsid w:val="00612EBE"/>
    <w:rsid w:val="006133FA"/>
    <w:rsid w:val="006148A1"/>
    <w:rsid w:val="00614B5D"/>
    <w:rsid w:val="00616466"/>
    <w:rsid w:val="00616544"/>
    <w:rsid w:val="00617358"/>
    <w:rsid w:val="006209BB"/>
    <w:rsid w:val="00620ADC"/>
    <w:rsid w:val="00621D04"/>
    <w:rsid w:val="006231CD"/>
    <w:rsid w:val="00623B79"/>
    <w:rsid w:val="00623F38"/>
    <w:rsid w:val="00624872"/>
    <w:rsid w:val="00624E06"/>
    <w:rsid w:val="006270C0"/>
    <w:rsid w:val="00627779"/>
    <w:rsid w:val="00627ED1"/>
    <w:rsid w:val="00630B66"/>
    <w:rsid w:val="00632732"/>
    <w:rsid w:val="00633264"/>
    <w:rsid w:val="0063468C"/>
    <w:rsid w:val="006361CB"/>
    <w:rsid w:val="0063681F"/>
    <w:rsid w:val="00637EB7"/>
    <w:rsid w:val="006402C8"/>
    <w:rsid w:val="0064031A"/>
    <w:rsid w:val="006416FD"/>
    <w:rsid w:val="006418D4"/>
    <w:rsid w:val="00642069"/>
    <w:rsid w:val="006425DF"/>
    <w:rsid w:val="00642934"/>
    <w:rsid w:val="00642FB2"/>
    <w:rsid w:val="0064538A"/>
    <w:rsid w:val="00646623"/>
    <w:rsid w:val="006469DF"/>
    <w:rsid w:val="006470A3"/>
    <w:rsid w:val="00651BEA"/>
    <w:rsid w:val="0065229D"/>
    <w:rsid w:val="00654C2B"/>
    <w:rsid w:val="0065656A"/>
    <w:rsid w:val="006579EE"/>
    <w:rsid w:val="00660236"/>
    <w:rsid w:val="006603D4"/>
    <w:rsid w:val="00661E29"/>
    <w:rsid w:val="00662F37"/>
    <w:rsid w:val="006635F5"/>
    <w:rsid w:val="00664C07"/>
    <w:rsid w:val="006656AF"/>
    <w:rsid w:val="00666398"/>
    <w:rsid w:val="006667E3"/>
    <w:rsid w:val="00666A44"/>
    <w:rsid w:val="00670CD6"/>
    <w:rsid w:val="00670DEC"/>
    <w:rsid w:val="00671248"/>
    <w:rsid w:val="00671937"/>
    <w:rsid w:val="00674153"/>
    <w:rsid w:val="0067581C"/>
    <w:rsid w:val="006760D6"/>
    <w:rsid w:val="00676F80"/>
    <w:rsid w:val="00680169"/>
    <w:rsid w:val="00681281"/>
    <w:rsid w:val="00681302"/>
    <w:rsid w:val="0068134C"/>
    <w:rsid w:val="00682D44"/>
    <w:rsid w:val="006866B6"/>
    <w:rsid w:val="00687E14"/>
    <w:rsid w:val="00690A3C"/>
    <w:rsid w:val="00690BE3"/>
    <w:rsid w:val="006910DA"/>
    <w:rsid w:val="00691792"/>
    <w:rsid w:val="0069227D"/>
    <w:rsid w:val="00693101"/>
    <w:rsid w:val="006945BB"/>
    <w:rsid w:val="00695E0F"/>
    <w:rsid w:val="00696D91"/>
    <w:rsid w:val="006971F3"/>
    <w:rsid w:val="006973BF"/>
    <w:rsid w:val="006A0721"/>
    <w:rsid w:val="006A0BAB"/>
    <w:rsid w:val="006A105C"/>
    <w:rsid w:val="006A13CF"/>
    <w:rsid w:val="006A154C"/>
    <w:rsid w:val="006A1D6C"/>
    <w:rsid w:val="006A22E7"/>
    <w:rsid w:val="006A2C8C"/>
    <w:rsid w:val="006A33AF"/>
    <w:rsid w:val="006A5F4D"/>
    <w:rsid w:val="006A683B"/>
    <w:rsid w:val="006A6C2F"/>
    <w:rsid w:val="006A7D02"/>
    <w:rsid w:val="006B1B75"/>
    <w:rsid w:val="006B210F"/>
    <w:rsid w:val="006C12C6"/>
    <w:rsid w:val="006C1326"/>
    <w:rsid w:val="006C17EB"/>
    <w:rsid w:val="006C2345"/>
    <w:rsid w:val="006C37C2"/>
    <w:rsid w:val="006C4464"/>
    <w:rsid w:val="006D0B4D"/>
    <w:rsid w:val="006D0C07"/>
    <w:rsid w:val="006D126D"/>
    <w:rsid w:val="006D149E"/>
    <w:rsid w:val="006D39BB"/>
    <w:rsid w:val="006D4298"/>
    <w:rsid w:val="006D442E"/>
    <w:rsid w:val="006E0231"/>
    <w:rsid w:val="006E1993"/>
    <w:rsid w:val="006E482A"/>
    <w:rsid w:val="006E4F7C"/>
    <w:rsid w:val="006E6EB9"/>
    <w:rsid w:val="006E7AE9"/>
    <w:rsid w:val="006F002F"/>
    <w:rsid w:val="006F09BD"/>
    <w:rsid w:val="006F1111"/>
    <w:rsid w:val="006F1308"/>
    <w:rsid w:val="006F3436"/>
    <w:rsid w:val="006F35AD"/>
    <w:rsid w:val="006F39EB"/>
    <w:rsid w:val="006F47AD"/>
    <w:rsid w:val="006F4EB7"/>
    <w:rsid w:val="006F797A"/>
    <w:rsid w:val="007004F0"/>
    <w:rsid w:val="00701715"/>
    <w:rsid w:val="00702144"/>
    <w:rsid w:val="00702BE9"/>
    <w:rsid w:val="00702E29"/>
    <w:rsid w:val="00703A8E"/>
    <w:rsid w:val="00704B20"/>
    <w:rsid w:val="00706435"/>
    <w:rsid w:val="00707A6F"/>
    <w:rsid w:val="00707B97"/>
    <w:rsid w:val="0071059D"/>
    <w:rsid w:val="007151A9"/>
    <w:rsid w:val="0071679C"/>
    <w:rsid w:val="007169F9"/>
    <w:rsid w:val="007173D6"/>
    <w:rsid w:val="00717C2B"/>
    <w:rsid w:val="00720256"/>
    <w:rsid w:val="00720347"/>
    <w:rsid w:val="00720936"/>
    <w:rsid w:val="0072158E"/>
    <w:rsid w:val="0072159B"/>
    <w:rsid w:val="00721A6A"/>
    <w:rsid w:val="0072436B"/>
    <w:rsid w:val="0072517E"/>
    <w:rsid w:val="00725D0D"/>
    <w:rsid w:val="00726307"/>
    <w:rsid w:val="00726589"/>
    <w:rsid w:val="0072688B"/>
    <w:rsid w:val="00726A1E"/>
    <w:rsid w:val="00727791"/>
    <w:rsid w:val="00730836"/>
    <w:rsid w:val="00731D73"/>
    <w:rsid w:val="00732D58"/>
    <w:rsid w:val="0073345D"/>
    <w:rsid w:val="00733B17"/>
    <w:rsid w:val="007350E1"/>
    <w:rsid w:val="007364BF"/>
    <w:rsid w:val="00736746"/>
    <w:rsid w:val="00736749"/>
    <w:rsid w:val="007369DA"/>
    <w:rsid w:val="00741549"/>
    <w:rsid w:val="0074202B"/>
    <w:rsid w:val="0074393D"/>
    <w:rsid w:val="0074499A"/>
    <w:rsid w:val="00745540"/>
    <w:rsid w:val="00745584"/>
    <w:rsid w:val="00745E8A"/>
    <w:rsid w:val="007463A0"/>
    <w:rsid w:val="0074651A"/>
    <w:rsid w:val="00747DB9"/>
    <w:rsid w:val="0075035A"/>
    <w:rsid w:val="007519A0"/>
    <w:rsid w:val="0075491B"/>
    <w:rsid w:val="00754D62"/>
    <w:rsid w:val="00754F72"/>
    <w:rsid w:val="00756CD5"/>
    <w:rsid w:val="0075747A"/>
    <w:rsid w:val="00760C2D"/>
    <w:rsid w:val="00760CE6"/>
    <w:rsid w:val="0076163E"/>
    <w:rsid w:val="00762666"/>
    <w:rsid w:val="00763342"/>
    <w:rsid w:val="00763DEF"/>
    <w:rsid w:val="0076403E"/>
    <w:rsid w:val="007652F0"/>
    <w:rsid w:val="00765C4B"/>
    <w:rsid w:val="0076644C"/>
    <w:rsid w:val="00766C62"/>
    <w:rsid w:val="00767C39"/>
    <w:rsid w:val="00770F24"/>
    <w:rsid w:val="00772438"/>
    <w:rsid w:val="00772649"/>
    <w:rsid w:val="00773967"/>
    <w:rsid w:val="00776411"/>
    <w:rsid w:val="00777AF4"/>
    <w:rsid w:val="007803FD"/>
    <w:rsid w:val="00780B88"/>
    <w:rsid w:val="00780D96"/>
    <w:rsid w:val="00781E59"/>
    <w:rsid w:val="00783F6B"/>
    <w:rsid w:val="00784617"/>
    <w:rsid w:val="00784BB9"/>
    <w:rsid w:val="007908A9"/>
    <w:rsid w:val="00790922"/>
    <w:rsid w:val="007909A3"/>
    <w:rsid w:val="0079112E"/>
    <w:rsid w:val="007913BB"/>
    <w:rsid w:val="00791D4F"/>
    <w:rsid w:val="007920D9"/>
    <w:rsid w:val="0079255B"/>
    <w:rsid w:val="0079301B"/>
    <w:rsid w:val="00793114"/>
    <w:rsid w:val="0079333E"/>
    <w:rsid w:val="007933BA"/>
    <w:rsid w:val="00794DFA"/>
    <w:rsid w:val="007950B6"/>
    <w:rsid w:val="0079567C"/>
    <w:rsid w:val="00796C1D"/>
    <w:rsid w:val="007A06DC"/>
    <w:rsid w:val="007A0CAC"/>
    <w:rsid w:val="007A10EC"/>
    <w:rsid w:val="007A135F"/>
    <w:rsid w:val="007A1452"/>
    <w:rsid w:val="007A22BC"/>
    <w:rsid w:val="007A2D94"/>
    <w:rsid w:val="007A3B71"/>
    <w:rsid w:val="007A5049"/>
    <w:rsid w:val="007A5580"/>
    <w:rsid w:val="007A5857"/>
    <w:rsid w:val="007A59D3"/>
    <w:rsid w:val="007A5B30"/>
    <w:rsid w:val="007A64C1"/>
    <w:rsid w:val="007A6CA9"/>
    <w:rsid w:val="007B0DDC"/>
    <w:rsid w:val="007B1DA1"/>
    <w:rsid w:val="007B2041"/>
    <w:rsid w:val="007B2C59"/>
    <w:rsid w:val="007B42CA"/>
    <w:rsid w:val="007B506B"/>
    <w:rsid w:val="007B6CDB"/>
    <w:rsid w:val="007B78DC"/>
    <w:rsid w:val="007B7EB4"/>
    <w:rsid w:val="007C11BC"/>
    <w:rsid w:val="007C11F5"/>
    <w:rsid w:val="007C2872"/>
    <w:rsid w:val="007D19B2"/>
    <w:rsid w:val="007D2666"/>
    <w:rsid w:val="007D293D"/>
    <w:rsid w:val="007D2968"/>
    <w:rsid w:val="007D296B"/>
    <w:rsid w:val="007D555F"/>
    <w:rsid w:val="007D55E5"/>
    <w:rsid w:val="007D6781"/>
    <w:rsid w:val="007E122E"/>
    <w:rsid w:val="007E3C37"/>
    <w:rsid w:val="007E4275"/>
    <w:rsid w:val="007E4C59"/>
    <w:rsid w:val="007E4D7C"/>
    <w:rsid w:val="007E50E1"/>
    <w:rsid w:val="007E5316"/>
    <w:rsid w:val="007E7468"/>
    <w:rsid w:val="007F0CBC"/>
    <w:rsid w:val="007F0DDC"/>
    <w:rsid w:val="007F327E"/>
    <w:rsid w:val="007F3604"/>
    <w:rsid w:val="007F39AA"/>
    <w:rsid w:val="007F4B5C"/>
    <w:rsid w:val="007F4D91"/>
    <w:rsid w:val="007F4E24"/>
    <w:rsid w:val="007F655A"/>
    <w:rsid w:val="007F6D72"/>
    <w:rsid w:val="007F736F"/>
    <w:rsid w:val="008005CE"/>
    <w:rsid w:val="008008A8"/>
    <w:rsid w:val="00800A1C"/>
    <w:rsid w:val="00801584"/>
    <w:rsid w:val="00801CB5"/>
    <w:rsid w:val="0080300B"/>
    <w:rsid w:val="008035B0"/>
    <w:rsid w:val="00803B0E"/>
    <w:rsid w:val="00804BCE"/>
    <w:rsid w:val="008057F0"/>
    <w:rsid w:val="00807E16"/>
    <w:rsid w:val="00810E05"/>
    <w:rsid w:val="008115D9"/>
    <w:rsid w:val="00812E10"/>
    <w:rsid w:val="00814A87"/>
    <w:rsid w:val="00815CB6"/>
    <w:rsid w:val="0081630C"/>
    <w:rsid w:val="00817B9F"/>
    <w:rsid w:val="00820651"/>
    <w:rsid w:val="00820D33"/>
    <w:rsid w:val="00820E87"/>
    <w:rsid w:val="0082197D"/>
    <w:rsid w:val="00821D2B"/>
    <w:rsid w:val="00822E4C"/>
    <w:rsid w:val="00823585"/>
    <w:rsid w:val="008237BF"/>
    <w:rsid w:val="008250E3"/>
    <w:rsid w:val="00825A1E"/>
    <w:rsid w:val="00825D1A"/>
    <w:rsid w:val="00827066"/>
    <w:rsid w:val="0082736B"/>
    <w:rsid w:val="008273B2"/>
    <w:rsid w:val="0082789D"/>
    <w:rsid w:val="00830526"/>
    <w:rsid w:val="008308AD"/>
    <w:rsid w:val="00830ABA"/>
    <w:rsid w:val="00831307"/>
    <w:rsid w:val="00833700"/>
    <w:rsid w:val="00833946"/>
    <w:rsid w:val="00834931"/>
    <w:rsid w:val="00836D84"/>
    <w:rsid w:val="008372EC"/>
    <w:rsid w:val="00837689"/>
    <w:rsid w:val="00837EB5"/>
    <w:rsid w:val="00840056"/>
    <w:rsid w:val="008405FC"/>
    <w:rsid w:val="008409B5"/>
    <w:rsid w:val="00840B90"/>
    <w:rsid w:val="00841240"/>
    <w:rsid w:val="008412D9"/>
    <w:rsid w:val="00842C47"/>
    <w:rsid w:val="00843727"/>
    <w:rsid w:val="00843D92"/>
    <w:rsid w:val="0084449E"/>
    <w:rsid w:val="00845274"/>
    <w:rsid w:val="008462EA"/>
    <w:rsid w:val="00846FA8"/>
    <w:rsid w:val="008470E4"/>
    <w:rsid w:val="008474BE"/>
    <w:rsid w:val="00847810"/>
    <w:rsid w:val="00847CBA"/>
    <w:rsid w:val="008509D6"/>
    <w:rsid w:val="008536AB"/>
    <w:rsid w:val="008542CB"/>
    <w:rsid w:val="008567DD"/>
    <w:rsid w:val="00856B82"/>
    <w:rsid w:val="00856CBB"/>
    <w:rsid w:val="008614A7"/>
    <w:rsid w:val="00862731"/>
    <w:rsid w:val="00862C15"/>
    <w:rsid w:val="008631B2"/>
    <w:rsid w:val="008635DC"/>
    <w:rsid w:val="00866238"/>
    <w:rsid w:val="0086639A"/>
    <w:rsid w:val="008675C0"/>
    <w:rsid w:val="008701CE"/>
    <w:rsid w:val="00870DEA"/>
    <w:rsid w:val="00871FC5"/>
    <w:rsid w:val="0087206A"/>
    <w:rsid w:val="00872490"/>
    <w:rsid w:val="008724A1"/>
    <w:rsid w:val="00873824"/>
    <w:rsid w:val="00876FE2"/>
    <w:rsid w:val="00880CBF"/>
    <w:rsid w:val="00881F18"/>
    <w:rsid w:val="00885622"/>
    <w:rsid w:val="00885DB3"/>
    <w:rsid w:val="00885DDC"/>
    <w:rsid w:val="0088692B"/>
    <w:rsid w:val="00886A4D"/>
    <w:rsid w:val="008870E2"/>
    <w:rsid w:val="008876DE"/>
    <w:rsid w:val="00887C01"/>
    <w:rsid w:val="0089120B"/>
    <w:rsid w:val="00891231"/>
    <w:rsid w:val="008927E2"/>
    <w:rsid w:val="008931AC"/>
    <w:rsid w:val="00894FDC"/>
    <w:rsid w:val="00895041"/>
    <w:rsid w:val="00895212"/>
    <w:rsid w:val="0089558F"/>
    <w:rsid w:val="00896AC3"/>
    <w:rsid w:val="00896B23"/>
    <w:rsid w:val="00897321"/>
    <w:rsid w:val="00897BBB"/>
    <w:rsid w:val="008A0D31"/>
    <w:rsid w:val="008A2941"/>
    <w:rsid w:val="008A3961"/>
    <w:rsid w:val="008A427E"/>
    <w:rsid w:val="008A56CC"/>
    <w:rsid w:val="008A73DB"/>
    <w:rsid w:val="008A73EE"/>
    <w:rsid w:val="008A79C6"/>
    <w:rsid w:val="008B0C8B"/>
    <w:rsid w:val="008B0D1B"/>
    <w:rsid w:val="008B158D"/>
    <w:rsid w:val="008B1E54"/>
    <w:rsid w:val="008B225C"/>
    <w:rsid w:val="008B22D0"/>
    <w:rsid w:val="008B2B7E"/>
    <w:rsid w:val="008B3295"/>
    <w:rsid w:val="008B4EB6"/>
    <w:rsid w:val="008B5A49"/>
    <w:rsid w:val="008C2665"/>
    <w:rsid w:val="008C26EC"/>
    <w:rsid w:val="008C2DFB"/>
    <w:rsid w:val="008C3551"/>
    <w:rsid w:val="008C70C4"/>
    <w:rsid w:val="008D07D6"/>
    <w:rsid w:val="008D0A87"/>
    <w:rsid w:val="008D0EF6"/>
    <w:rsid w:val="008D2CBA"/>
    <w:rsid w:val="008D453C"/>
    <w:rsid w:val="008D499D"/>
    <w:rsid w:val="008D57CF"/>
    <w:rsid w:val="008D6CDB"/>
    <w:rsid w:val="008D6E02"/>
    <w:rsid w:val="008D7523"/>
    <w:rsid w:val="008D7727"/>
    <w:rsid w:val="008E03D1"/>
    <w:rsid w:val="008E145B"/>
    <w:rsid w:val="008E307C"/>
    <w:rsid w:val="008E3590"/>
    <w:rsid w:val="008E57E6"/>
    <w:rsid w:val="008E59D3"/>
    <w:rsid w:val="008E606D"/>
    <w:rsid w:val="008E707F"/>
    <w:rsid w:val="008E7489"/>
    <w:rsid w:val="008E79E4"/>
    <w:rsid w:val="008E7D17"/>
    <w:rsid w:val="008E7D9A"/>
    <w:rsid w:val="008F0A43"/>
    <w:rsid w:val="008F1463"/>
    <w:rsid w:val="008F219B"/>
    <w:rsid w:val="008F2A05"/>
    <w:rsid w:val="008F2D4B"/>
    <w:rsid w:val="008F3017"/>
    <w:rsid w:val="008F43F7"/>
    <w:rsid w:val="008F55A4"/>
    <w:rsid w:val="008F5FE4"/>
    <w:rsid w:val="008F68B7"/>
    <w:rsid w:val="008F7E39"/>
    <w:rsid w:val="00901097"/>
    <w:rsid w:val="009017D4"/>
    <w:rsid w:val="00901BC6"/>
    <w:rsid w:val="00901DFE"/>
    <w:rsid w:val="0090262D"/>
    <w:rsid w:val="00902895"/>
    <w:rsid w:val="00902A26"/>
    <w:rsid w:val="009038CE"/>
    <w:rsid w:val="00903F86"/>
    <w:rsid w:val="00906BCC"/>
    <w:rsid w:val="00907252"/>
    <w:rsid w:val="00907EF4"/>
    <w:rsid w:val="00910C0F"/>
    <w:rsid w:val="00911152"/>
    <w:rsid w:val="0091131F"/>
    <w:rsid w:val="00911EB1"/>
    <w:rsid w:val="00913CC8"/>
    <w:rsid w:val="00915357"/>
    <w:rsid w:val="009156C3"/>
    <w:rsid w:val="009161B9"/>
    <w:rsid w:val="009162CF"/>
    <w:rsid w:val="0091680A"/>
    <w:rsid w:val="00916A68"/>
    <w:rsid w:val="0091773B"/>
    <w:rsid w:val="00917E92"/>
    <w:rsid w:val="009211D1"/>
    <w:rsid w:val="0092216B"/>
    <w:rsid w:val="00922FCF"/>
    <w:rsid w:val="00923C01"/>
    <w:rsid w:val="009241A6"/>
    <w:rsid w:val="009256AA"/>
    <w:rsid w:val="0092685C"/>
    <w:rsid w:val="00927B39"/>
    <w:rsid w:val="0093024B"/>
    <w:rsid w:val="00930874"/>
    <w:rsid w:val="009313CA"/>
    <w:rsid w:val="0093225A"/>
    <w:rsid w:val="00934470"/>
    <w:rsid w:val="00934EA4"/>
    <w:rsid w:val="0093500A"/>
    <w:rsid w:val="0093539D"/>
    <w:rsid w:val="009356DE"/>
    <w:rsid w:val="00936066"/>
    <w:rsid w:val="0093671F"/>
    <w:rsid w:val="00936852"/>
    <w:rsid w:val="00936F31"/>
    <w:rsid w:val="0093792B"/>
    <w:rsid w:val="00940D76"/>
    <w:rsid w:val="00940E33"/>
    <w:rsid w:val="009411EB"/>
    <w:rsid w:val="009418B9"/>
    <w:rsid w:val="00941A3D"/>
    <w:rsid w:val="00941C4A"/>
    <w:rsid w:val="00941D71"/>
    <w:rsid w:val="00942476"/>
    <w:rsid w:val="00942B0E"/>
    <w:rsid w:val="00944CB3"/>
    <w:rsid w:val="00944DE6"/>
    <w:rsid w:val="009466A8"/>
    <w:rsid w:val="009469AD"/>
    <w:rsid w:val="00947F27"/>
    <w:rsid w:val="00951B8B"/>
    <w:rsid w:val="00951BA6"/>
    <w:rsid w:val="00952CC1"/>
    <w:rsid w:val="0095347F"/>
    <w:rsid w:val="009541BC"/>
    <w:rsid w:val="00955F6D"/>
    <w:rsid w:val="0095791D"/>
    <w:rsid w:val="00957EFD"/>
    <w:rsid w:val="00960BA4"/>
    <w:rsid w:val="009623AF"/>
    <w:rsid w:val="00963E2E"/>
    <w:rsid w:val="00963F3E"/>
    <w:rsid w:val="00964F09"/>
    <w:rsid w:val="00965878"/>
    <w:rsid w:val="00966255"/>
    <w:rsid w:val="00967157"/>
    <w:rsid w:val="00971469"/>
    <w:rsid w:val="00971976"/>
    <w:rsid w:val="00971D33"/>
    <w:rsid w:val="0097243F"/>
    <w:rsid w:val="00972D6A"/>
    <w:rsid w:val="00972DB3"/>
    <w:rsid w:val="0097344D"/>
    <w:rsid w:val="00973461"/>
    <w:rsid w:val="00976692"/>
    <w:rsid w:val="0097761D"/>
    <w:rsid w:val="00980303"/>
    <w:rsid w:val="009828A6"/>
    <w:rsid w:val="00983A2D"/>
    <w:rsid w:val="00984BC3"/>
    <w:rsid w:val="00985128"/>
    <w:rsid w:val="00985D4E"/>
    <w:rsid w:val="00985E03"/>
    <w:rsid w:val="00986E30"/>
    <w:rsid w:val="00990183"/>
    <w:rsid w:val="009908F2"/>
    <w:rsid w:val="009926F1"/>
    <w:rsid w:val="00992B72"/>
    <w:rsid w:val="00993E07"/>
    <w:rsid w:val="00994602"/>
    <w:rsid w:val="009974EB"/>
    <w:rsid w:val="009A039A"/>
    <w:rsid w:val="009A0C7B"/>
    <w:rsid w:val="009A0F3D"/>
    <w:rsid w:val="009A210B"/>
    <w:rsid w:val="009A268C"/>
    <w:rsid w:val="009A49B5"/>
    <w:rsid w:val="009A4C94"/>
    <w:rsid w:val="009A5175"/>
    <w:rsid w:val="009A552C"/>
    <w:rsid w:val="009A628B"/>
    <w:rsid w:val="009B09EA"/>
    <w:rsid w:val="009B1F38"/>
    <w:rsid w:val="009B219C"/>
    <w:rsid w:val="009B2A7A"/>
    <w:rsid w:val="009B3E60"/>
    <w:rsid w:val="009B3EEB"/>
    <w:rsid w:val="009B5D7E"/>
    <w:rsid w:val="009B6205"/>
    <w:rsid w:val="009B765D"/>
    <w:rsid w:val="009B7B23"/>
    <w:rsid w:val="009C02DB"/>
    <w:rsid w:val="009C0D1A"/>
    <w:rsid w:val="009C171B"/>
    <w:rsid w:val="009C1B4F"/>
    <w:rsid w:val="009C3CE7"/>
    <w:rsid w:val="009C3F36"/>
    <w:rsid w:val="009C4C44"/>
    <w:rsid w:val="009C6531"/>
    <w:rsid w:val="009C6738"/>
    <w:rsid w:val="009C67FF"/>
    <w:rsid w:val="009C6D09"/>
    <w:rsid w:val="009C75E1"/>
    <w:rsid w:val="009C7F39"/>
    <w:rsid w:val="009D1066"/>
    <w:rsid w:val="009D48DB"/>
    <w:rsid w:val="009D4A14"/>
    <w:rsid w:val="009D5DD0"/>
    <w:rsid w:val="009D62F2"/>
    <w:rsid w:val="009D63AD"/>
    <w:rsid w:val="009D6BFA"/>
    <w:rsid w:val="009D6D14"/>
    <w:rsid w:val="009D7CB2"/>
    <w:rsid w:val="009E07E8"/>
    <w:rsid w:val="009E1F36"/>
    <w:rsid w:val="009E24EB"/>
    <w:rsid w:val="009E28D9"/>
    <w:rsid w:val="009E3283"/>
    <w:rsid w:val="009E392C"/>
    <w:rsid w:val="009E4A0B"/>
    <w:rsid w:val="009E4F95"/>
    <w:rsid w:val="009E5336"/>
    <w:rsid w:val="009E7003"/>
    <w:rsid w:val="009F07DD"/>
    <w:rsid w:val="009F22A6"/>
    <w:rsid w:val="009F2FA2"/>
    <w:rsid w:val="009F42AD"/>
    <w:rsid w:val="009F5D39"/>
    <w:rsid w:val="009F6EC0"/>
    <w:rsid w:val="00A00738"/>
    <w:rsid w:val="00A00949"/>
    <w:rsid w:val="00A0123C"/>
    <w:rsid w:val="00A0249C"/>
    <w:rsid w:val="00A02F9C"/>
    <w:rsid w:val="00A04BB9"/>
    <w:rsid w:val="00A04D95"/>
    <w:rsid w:val="00A05321"/>
    <w:rsid w:val="00A07305"/>
    <w:rsid w:val="00A075BC"/>
    <w:rsid w:val="00A10955"/>
    <w:rsid w:val="00A10A2C"/>
    <w:rsid w:val="00A10A3C"/>
    <w:rsid w:val="00A1455D"/>
    <w:rsid w:val="00A147C7"/>
    <w:rsid w:val="00A153AC"/>
    <w:rsid w:val="00A17304"/>
    <w:rsid w:val="00A1737D"/>
    <w:rsid w:val="00A20E6A"/>
    <w:rsid w:val="00A2150E"/>
    <w:rsid w:val="00A223C4"/>
    <w:rsid w:val="00A239E3"/>
    <w:rsid w:val="00A23E40"/>
    <w:rsid w:val="00A24EEE"/>
    <w:rsid w:val="00A253D8"/>
    <w:rsid w:val="00A253FB"/>
    <w:rsid w:val="00A25A85"/>
    <w:rsid w:val="00A26460"/>
    <w:rsid w:val="00A27A46"/>
    <w:rsid w:val="00A32110"/>
    <w:rsid w:val="00A33BA4"/>
    <w:rsid w:val="00A37C82"/>
    <w:rsid w:val="00A4027C"/>
    <w:rsid w:val="00A40F3F"/>
    <w:rsid w:val="00A41569"/>
    <w:rsid w:val="00A420B1"/>
    <w:rsid w:val="00A427F8"/>
    <w:rsid w:val="00A42A6A"/>
    <w:rsid w:val="00A42A90"/>
    <w:rsid w:val="00A43256"/>
    <w:rsid w:val="00A44031"/>
    <w:rsid w:val="00A440AE"/>
    <w:rsid w:val="00A454D5"/>
    <w:rsid w:val="00A46615"/>
    <w:rsid w:val="00A46A07"/>
    <w:rsid w:val="00A46A80"/>
    <w:rsid w:val="00A46EB3"/>
    <w:rsid w:val="00A47184"/>
    <w:rsid w:val="00A47846"/>
    <w:rsid w:val="00A50D71"/>
    <w:rsid w:val="00A51A18"/>
    <w:rsid w:val="00A525E8"/>
    <w:rsid w:val="00A53B71"/>
    <w:rsid w:val="00A564ED"/>
    <w:rsid w:val="00A570AA"/>
    <w:rsid w:val="00A57ED0"/>
    <w:rsid w:val="00A60220"/>
    <w:rsid w:val="00A61229"/>
    <w:rsid w:val="00A61B88"/>
    <w:rsid w:val="00A63908"/>
    <w:rsid w:val="00A65A34"/>
    <w:rsid w:val="00A65D7D"/>
    <w:rsid w:val="00A66B8D"/>
    <w:rsid w:val="00A67050"/>
    <w:rsid w:val="00A671E0"/>
    <w:rsid w:val="00A67EE1"/>
    <w:rsid w:val="00A714BE"/>
    <w:rsid w:val="00A74444"/>
    <w:rsid w:val="00A75133"/>
    <w:rsid w:val="00A7670E"/>
    <w:rsid w:val="00A76776"/>
    <w:rsid w:val="00A76AF9"/>
    <w:rsid w:val="00A77406"/>
    <w:rsid w:val="00A77CAA"/>
    <w:rsid w:val="00A805CE"/>
    <w:rsid w:val="00A81D63"/>
    <w:rsid w:val="00A8236B"/>
    <w:rsid w:val="00A82BCE"/>
    <w:rsid w:val="00A84FF2"/>
    <w:rsid w:val="00A85F9A"/>
    <w:rsid w:val="00A86A02"/>
    <w:rsid w:val="00A86E3D"/>
    <w:rsid w:val="00A903FA"/>
    <w:rsid w:val="00A90974"/>
    <w:rsid w:val="00A91555"/>
    <w:rsid w:val="00A94E97"/>
    <w:rsid w:val="00A95D9C"/>
    <w:rsid w:val="00AA1268"/>
    <w:rsid w:val="00AA12C3"/>
    <w:rsid w:val="00AA2C09"/>
    <w:rsid w:val="00AA303A"/>
    <w:rsid w:val="00AA32AC"/>
    <w:rsid w:val="00AA3597"/>
    <w:rsid w:val="00AA465A"/>
    <w:rsid w:val="00AA5BBE"/>
    <w:rsid w:val="00AA601B"/>
    <w:rsid w:val="00AA6083"/>
    <w:rsid w:val="00AA618E"/>
    <w:rsid w:val="00AA7F98"/>
    <w:rsid w:val="00AB19DF"/>
    <w:rsid w:val="00AB2980"/>
    <w:rsid w:val="00AB2CB0"/>
    <w:rsid w:val="00AB2F21"/>
    <w:rsid w:val="00AB36FB"/>
    <w:rsid w:val="00AB44A2"/>
    <w:rsid w:val="00AB4728"/>
    <w:rsid w:val="00AB4759"/>
    <w:rsid w:val="00AB52D2"/>
    <w:rsid w:val="00AB5F9F"/>
    <w:rsid w:val="00AB6672"/>
    <w:rsid w:val="00AB7774"/>
    <w:rsid w:val="00AB7AAC"/>
    <w:rsid w:val="00AB7D20"/>
    <w:rsid w:val="00AC0429"/>
    <w:rsid w:val="00AC0845"/>
    <w:rsid w:val="00AC0F9D"/>
    <w:rsid w:val="00AC21F5"/>
    <w:rsid w:val="00AC2841"/>
    <w:rsid w:val="00AC3CB7"/>
    <w:rsid w:val="00AC446E"/>
    <w:rsid w:val="00AC7B51"/>
    <w:rsid w:val="00AD1211"/>
    <w:rsid w:val="00AD2743"/>
    <w:rsid w:val="00AD29A3"/>
    <w:rsid w:val="00AD682C"/>
    <w:rsid w:val="00AD7BE0"/>
    <w:rsid w:val="00AE09C5"/>
    <w:rsid w:val="00AE438A"/>
    <w:rsid w:val="00AE4436"/>
    <w:rsid w:val="00AE46DF"/>
    <w:rsid w:val="00AE5316"/>
    <w:rsid w:val="00AE66F5"/>
    <w:rsid w:val="00AE69CF"/>
    <w:rsid w:val="00AE6A55"/>
    <w:rsid w:val="00AE75F8"/>
    <w:rsid w:val="00AF14AF"/>
    <w:rsid w:val="00AF15E8"/>
    <w:rsid w:val="00AF2A9E"/>
    <w:rsid w:val="00AF3888"/>
    <w:rsid w:val="00AF440A"/>
    <w:rsid w:val="00AF6BFF"/>
    <w:rsid w:val="00AF7218"/>
    <w:rsid w:val="00B0039D"/>
    <w:rsid w:val="00B00BD5"/>
    <w:rsid w:val="00B00C71"/>
    <w:rsid w:val="00B01BB6"/>
    <w:rsid w:val="00B02713"/>
    <w:rsid w:val="00B034F9"/>
    <w:rsid w:val="00B03DDB"/>
    <w:rsid w:val="00B0536A"/>
    <w:rsid w:val="00B06535"/>
    <w:rsid w:val="00B06D67"/>
    <w:rsid w:val="00B06F74"/>
    <w:rsid w:val="00B109FA"/>
    <w:rsid w:val="00B11C0A"/>
    <w:rsid w:val="00B12694"/>
    <w:rsid w:val="00B12704"/>
    <w:rsid w:val="00B1370C"/>
    <w:rsid w:val="00B13C0E"/>
    <w:rsid w:val="00B14A6F"/>
    <w:rsid w:val="00B14E59"/>
    <w:rsid w:val="00B15884"/>
    <w:rsid w:val="00B16537"/>
    <w:rsid w:val="00B16D43"/>
    <w:rsid w:val="00B1719D"/>
    <w:rsid w:val="00B17302"/>
    <w:rsid w:val="00B178EE"/>
    <w:rsid w:val="00B20651"/>
    <w:rsid w:val="00B20D17"/>
    <w:rsid w:val="00B21E39"/>
    <w:rsid w:val="00B22ADC"/>
    <w:rsid w:val="00B23D59"/>
    <w:rsid w:val="00B24AF1"/>
    <w:rsid w:val="00B251D6"/>
    <w:rsid w:val="00B25443"/>
    <w:rsid w:val="00B2689F"/>
    <w:rsid w:val="00B26A8B"/>
    <w:rsid w:val="00B27DDC"/>
    <w:rsid w:val="00B30EA8"/>
    <w:rsid w:val="00B31216"/>
    <w:rsid w:val="00B31397"/>
    <w:rsid w:val="00B31474"/>
    <w:rsid w:val="00B3324E"/>
    <w:rsid w:val="00B34AFE"/>
    <w:rsid w:val="00B35225"/>
    <w:rsid w:val="00B35277"/>
    <w:rsid w:val="00B35D49"/>
    <w:rsid w:val="00B35D81"/>
    <w:rsid w:val="00B36988"/>
    <w:rsid w:val="00B370E1"/>
    <w:rsid w:val="00B406ED"/>
    <w:rsid w:val="00B4114B"/>
    <w:rsid w:val="00B43D41"/>
    <w:rsid w:val="00B46620"/>
    <w:rsid w:val="00B47C0B"/>
    <w:rsid w:val="00B50466"/>
    <w:rsid w:val="00B518E2"/>
    <w:rsid w:val="00B51C9A"/>
    <w:rsid w:val="00B52793"/>
    <w:rsid w:val="00B54A64"/>
    <w:rsid w:val="00B555A5"/>
    <w:rsid w:val="00B557C3"/>
    <w:rsid w:val="00B615AD"/>
    <w:rsid w:val="00B624F5"/>
    <w:rsid w:val="00B62614"/>
    <w:rsid w:val="00B62B47"/>
    <w:rsid w:val="00B62F5A"/>
    <w:rsid w:val="00B64D16"/>
    <w:rsid w:val="00B6557E"/>
    <w:rsid w:val="00B65975"/>
    <w:rsid w:val="00B67E43"/>
    <w:rsid w:val="00B70F52"/>
    <w:rsid w:val="00B71A35"/>
    <w:rsid w:val="00B72399"/>
    <w:rsid w:val="00B73B33"/>
    <w:rsid w:val="00B745BB"/>
    <w:rsid w:val="00B7617E"/>
    <w:rsid w:val="00B76218"/>
    <w:rsid w:val="00B8016E"/>
    <w:rsid w:val="00B80FBB"/>
    <w:rsid w:val="00B811C7"/>
    <w:rsid w:val="00B817D4"/>
    <w:rsid w:val="00B81FAD"/>
    <w:rsid w:val="00B82240"/>
    <w:rsid w:val="00B82D88"/>
    <w:rsid w:val="00B8441E"/>
    <w:rsid w:val="00B84D60"/>
    <w:rsid w:val="00B84DF1"/>
    <w:rsid w:val="00B84EA7"/>
    <w:rsid w:val="00B85203"/>
    <w:rsid w:val="00B85ABB"/>
    <w:rsid w:val="00B86B30"/>
    <w:rsid w:val="00B87164"/>
    <w:rsid w:val="00B91DDD"/>
    <w:rsid w:val="00B9208D"/>
    <w:rsid w:val="00B92B3C"/>
    <w:rsid w:val="00B92B6C"/>
    <w:rsid w:val="00B92F81"/>
    <w:rsid w:val="00B9372F"/>
    <w:rsid w:val="00B939A1"/>
    <w:rsid w:val="00B93EA6"/>
    <w:rsid w:val="00B9416F"/>
    <w:rsid w:val="00B942A2"/>
    <w:rsid w:val="00B94482"/>
    <w:rsid w:val="00B95364"/>
    <w:rsid w:val="00B95883"/>
    <w:rsid w:val="00B95BC6"/>
    <w:rsid w:val="00B969E2"/>
    <w:rsid w:val="00B96A75"/>
    <w:rsid w:val="00BA18A0"/>
    <w:rsid w:val="00BA22FB"/>
    <w:rsid w:val="00BA24D8"/>
    <w:rsid w:val="00BA2F30"/>
    <w:rsid w:val="00BA31C7"/>
    <w:rsid w:val="00BA3230"/>
    <w:rsid w:val="00BA360C"/>
    <w:rsid w:val="00BA49BC"/>
    <w:rsid w:val="00BA4A06"/>
    <w:rsid w:val="00BA4A4C"/>
    <w:rsid w:val="00BA6479"/>
    <w:rsid w:val="00BA6E22"/>
    <w:rsid w:val="00BB00BB"/>
    <w:rsid w:val="00BB05AA"/>
    <w:rsid w:val="00BB1926"/>
    <w:rsid w:val="00BB1A27"/>
    <w:rsid w:val="00BB1F13"/>
    <w:rsid w:val="00BB20DF"/>
    <w:rsid w:val="00BB2484"/>
    <w:rsid w:val="00BB2C28"/>
    <w:rsid w:val="00BB300B"/>
    <w:rsid w:val="00BB47F3"/>
    <w:rsid w:val="00BB5118"/>
    <w:rsid w:val="00BB64E4"/>
    <w:rsid w:val="00BB6CEF"/>
    <w:rsid w:val="00BC0946"/>
    <w:rsid w:val="00BC162C"/>
    <w:rsid w:val="00BC2031"/>
    <w:rsid w:val="00BC215E"/>
    <w:rsid w:val="00BC2FAE"/>
    <w:rsid w:val="00BC30AA"/>
    <w:rsid w:val="00BC312A"/>
    <w:rsid w:val="00BC3315"/>
    <w:rsid w:val="00BC3702"/>
    <w:rsid w:val="00BC442C"/>
    <w:rsid w:val="00BC498F"/>
    <w:rsid w:val="00BC4D70"/>
    <w:rsid w:val="00BC4E81"/>
    <w:rsid w:val="00BC6308"/>
    <w:rsid w:val="00BC6374"/>
    <w:rsid w:val="00BC6401"/>
    <w:rsid w:val="00BC67AE"/>
    <w:rsid w:val="00BC6E54"/>
    <w:rsid w:val="00BD243B"/>
    <w:rsid w:val="00BD30E9"/>
    <w:rsid w:val="00BD48A2"/>
    <w:rsid w:val="00BD4913"/>
    <w:rsid w:val="00BD49E3"/>
    <w:rsid w:val="00BD4D63"/>
    <w:rsid w:val="00BE00A1"/>
    <w:rsid w:val="00BE06F4"/>
    <w:rsid w:val="00BE0CEE"/>
    <w:rsid w:val="00BE27D7"/>
    <w:rsid w:val="00BE7CBC"/>
    <w:rsid w:val="00BF066D"/>
    <w:rsid w:val="00BF07C3"/>
    <w:rsid w:val="00BF12BD"/>
    <w:rsid w:val="00BF1B2F"/>
    <w:rsid w:val="00BF1BC8"/>
    <w:rsid w:val="00BF235F"/>
    <w:rsid w:val="00BF37FA"/>
    <w:rsid w:val="00BF4A1D"/>
    <w:rsid w:val="00BF6348"/>
    <w:rsid w:val="00BF634F"/>
    <w:rsid w:val="00BF6864"/>
    <w:rsid w:val="00BF6A28"/>
    <w:rsid w:val="00BF6AD5"/>
    <w:rsid w:val="00BF6C1F"/>
    <w:rsid w:val="00BF6D33"/>
    <w:rsid w:val="00BF7776"/>
    <w:rsid w:val="00C00DB2"/>
    <w:rsid w:val="00C034E1"/>
    <w:rsid w:val="00C03CB5"/>
    <w:rsid w:val="00C0610E"/>
    <w:rsid w:val="00C0644C"/>
    <w:rsid w:val="00C06645"/>
    <w:rsid w:val="00C06B41"/>
    <w:rsid w:val="00C07D4F"/>
    <w:rsid w:val="00C10874"/>
    <w:rsid w:val="00C11745"/>
    <w:rsid w:val="00C11848"/>
    <w:rsid w:val="00C11C79"/>
    <w:rsid w:val="00C12996"/>
    <w:rsid w:val="00C1302C"/>
    <w:rsid w:val="00C13AEB"/>
    <w:rsid w:val="00C140E7"/>
    <w:rsid w:val="00C152CF"/>
    <w:rsid w:val="00C20C00"/>
    <w:rsid w:val="00C217A9"/>
    <w:rsid w:val="00C21897"/>
    <w:rsid w:val="00C23BEE"/>
    <w:rsid w:val="00C24511"/>
    <w:rsid w:val="00C249A6"/>
    <w:rsid w:val="00C25B60"/>
    <w:rsid w:val="00C26192"/>
    <w:rsid w:val="00C26271"/>
    <w:rsid w:val="00C32085"/>
    <w:rsid w:val="00C321A1"/>
    <w:rsid w:val="00C326F3"/>
    <w:rsid w:val="00C330C5"/>
    <w:rsid w:val="00C3370E"/>
    <w:rsid w:val="00C35447"/>
    <w:rsid w:val="00C35712"/>
    <w:rsid w:val="00C4149F"/>
    <w:rsid w:val="00C41E8A"/>
    <w:rsid w:val="00C42D58"/>
    <w:rsid w:val="00C437DC"/>
    <w:rsid w:val="00C4459A"/>
    <w:rsid w:val="00C4485B"/>
    <w:rsid w:val="00C455AF"/>
    <w:rsid w:val="00C45E94"/>
    <w:rsid w:val="00C462D6"/>
    <w:rsid w:val="00C476C8"/>
    <w:rsid w:val="00C47AF9"/>
    <w:rsid w:val="00C50517"/>
    <w:rsid w:val="00C5132A"/>
    <w:rsid w:val="00C53BC9"/>
    <w:rsid w:val="00C54241"/>
    <w:rsid w:val="00C5617B"/>
    <w:rsid w:val="00C56643"/>
    <w:rsid w:val="00C566A7"/>
    <w:rsid w:val="00C56BD4"/>
    <w:rsid w:val="00C60634"/>
    <w:rsid w:val="00C607A4"/>
    <w:rsid w:val="00C618A6"/>
    <w:rsid w:val="00C62972"/>
    <w:rsid w:val="00C62F53"/>
    <w:rsid w:val="00C63534"/>
    <w:rsid w:val="00C64B54"/>
    <w:rsid w:val="00C64C1A"/>
    <w:rsid w:val="00C652BF"/>
    <w:rsid w:val="00C662B4"/>
    <w:rsid w:val="00C668B6"/>
    <w:rsid w:val="00C70237"/>
    <w:rsid w:val="00C70384"/>
    <w:rsid w:val="00C72EC7"/>
    <w:rsid w:val="00C73A77"/>
    <w:rsid w:val="00C73AF6"/>
    <w:rsid w:val="00C73B49"/>
    <w:rsid w:val="00C73BE3"/>
    <w:rsid w:val="00C73F16"/>
    <w:rsid w:val="00C742E6"/>
    <w:rsid w:val="00C74DE1"/>
    <w:rsid w:val="00C75179"/>
    <w:rsid w:val="00C754D1"/>
    <w:rsid w:val="00C775E1"/>
    <w:rsid w:val="00C775F1"/>
    <w:rsid w:val="00C77C0C"/>
    <w:rsid w:val="00C8054B"/>
    <w:rsid w:val="00C82025"/>
    <w:rsid w:val="00C8213A"/>
    <w:rsid w:val="00C823A4"/>
    <w:rsid w:val="00C83965"/>
    <w:rsid w:val="00C84295"/>
    <w:rsid w:val="00C850BA"/>
    <w:rsid w:val="00C863C4"/>
    <w:rsid w:val="00C90471"/>
    <w:rsid w:val="00C90C92"/>
    <w:rsid w:val="00C912D9"/>
    <w:rsid w:val="00C91F7B"/>
    <w:rsid w:val="00C92A76"/>
    <w:rsid w:val="00C92D69"/>
    <w:rsid w:val="00C94623"/>
    <w:rsid w:val="00C94ADE"/>
    <w:rsid w:val="00C94E0E"/>
    <w:rsid w:val="00C95633"/>
    <w:rsid w:val="00C9582E"/>
    <w:rsid w:val="00C95891"/>
    <w:rsid w:val="00C976A4"/>
    <w:rsid w:val="00C9777A"/>
    <w:rsid w:val="00C97932"/>
    <w:rsid w:val="00C97F05"/>
    <w:rsid w:val="00CA2C64"/>
    <w:rsid w:val="00CA2DA6"/>
    <w:rsid w:val="00CA474B"/>
    <w:rsid w:val="00CA5AB0"/>
    <w:rsid w:val="00CA6FC4"/>
    <w:rsid w:val="00CA714E"/>
    <w:rsid w:val="00CA728D"/>
    <w:rsid w:val="00CB0541"/>
    <w:rsid w:val="00CB0794"/>
    <w:rsid w:val="00CB265A"/>
    <w:rsid w:val="00CB376D"/>
    <w:rsid w:val="00CB387D"/>
    <w:rsid w:val="00CB4171"/>
    <w:rsid w:val="00CB41CE"/>
    <w:rsid w:val="00CB498B"/>
    <w:rsid w:val="00CB49B5"/>
    <w:rsid w:val="00CB4F0A"/>
    <w:rsid w:val="00CB5225"/>
    <w:rsid w:val="00CB5445"/>
    <w:rsid w:val="00CB5811"/>
    <w:rsid w:val="00CB5BFE"/>
    <w:rsid w:val="00CB5C7D"/>
    <w:rsid w:val="00CB60AC"/>
    <w:rsid w:val="00CB62BC"/>
    <w:rsid w:val="00CB698F"/>
    <w:rsid w:val="00CC00EE"/>
    <w:rsid w:val="00CC0D50"/>
    <w:rsid w:val="00CC2592"/>
    <w:rsid w:val="00CC30B1"/>
    <w:rsid w:val="00CC38AD"/>
    <w:rsid w:val="00CC56AF"/>
    <w:rsid w:val="00CC74C1"/>
    <w:rsid w:val="00CD01B1"/>
    <w:rsid w:val="00CD0BD0"/>
    <w:rsid w:val="00CD1E37"/>
    <w:rsid w:val="00CD212F"/>
    <w:rsid w:val="00CD2546"/>
    <w:rsid w:val="00CD27F2"/>
    <w:rsid w:val="00CD2837"/>
    <w:rsid w:val="00CD3EEB"/>
    <w:rsid w:val="00CD6DFF"/>
    <w:rsid w:val="00CD7619"/>
    <w:rsid w:val="00CD7D48"/>
    <w:rsid w:val="00CE08E7"/>
    <w:rsid w:val="00CE1A1C"/>
    <w:rsid w:val="00CE1FA3"/>
    <w:rsid w:val="00CE44B3"/>
    <w:rsid w:val="00CE5917"/>
    <w:rsid w:val="00CE63B1"/>
    <w:rsid w:val="00CE65B5"/>
    <w:rsid w:val="00CE7CC4"/>
    <w:rsid w:val="00CE7ED3"/>
    <w:rsid w:val="00CF0C80"/>
    <w:rsid w:val="00CF2FCB"/>
    <w:rsid w:val="00CF3B85"/>
    <w:rsid w:val="00CF3C59"/>
    <w:rsid w:val="00CF42EE"/>
    <w:rsid w:val="00CF4708"/>
    <w:rsid w:val="00CF5559"/>
    <w:rsid w:val="00CF5730"/>
    <w:rsid w:val="00CF784B"/>
    <w:rsid w:val="00D003D7"/>
    <w:rsid w:val="00D0155A"/>
    <w:rsid w:val="00D0174D"/>
    <w:rsid w:val="00D01A95"/>
    <w:rsid w:val="00D01CD3"/>
    <w:rsid w:val="00D020B4"/>
    <w:rsid w:val="00D04373"/>
    <w:rsid w:val="00D04623"/>
    <w:rsid w:val="00D047B4"/>
    <w:rsid w:val="00D04A3B"/>
    <w:rsid w:val="00D05507"/>
    <w:rsid w:val="00D05644"/>
    <w:rsid w:val="00D06E0C"/>
    <w:rsid w:val="00D103FA"/>
    <w:rsid w:val="00D10844"/>
    <w:rsid w:val="00D112F1"/>
    <w:rsid w:val="00D11F9C"/>
    <w:rsid w:val="00D121B5"/>
    <w:rsid w:val="00D124A6"/>
    <w:rsid w:val="00D144C4"/>
    <w:rsid w:val="00D14A20"/>
    <w:rsid w:val="00D16730"/>
    <w:rsid w:val="00D1738C"/>
    <w:rsid w:val="00D215C6"/>
    <w:rsid w:val="00D21BE6"/>
    <w:rsid w:val="00D229BD"/>
    <w:rsid w:val="00D24BAF"/>
    <w:rsid w:val="00D255FB"/>
    <w:rsid w:val="00D25A4A"/>
    <w:rsid w:val="00D26421"/>
    <w:rsid w:val="00D27EFB"/>
    <w:rsid w:val="00D30414"/>
    <w:rsid w:val="00D3055A"/>
    <w:rsid w:val="00D31461"/>
    <w:rsid w:val="00D3205E"/>
    <w:rsid w:val="00D32372"/>
    <w:rsid w:val="00D3238D"/>
    <w:rsid w:val="00D32F63"/>
    <w:rsid w:val="00D330B1"/>
    <w:rsid w:val="00D3385E"/>
    <w:rsid w:val="00D34065"/>
    <w:rsid w:val="00D3488B"/>
    <w:rsid w:val="00D34A70"/>
    <w:rsid w:val="00D3574D"/>
    <w:rsid w:val="00D36CB2"/>
    <w:rsid w:val="00D379F0"/>
    <w:rsid w:val="00D40645"/>
    <w:rsid w:val="00D4191C"/>
    <w:rsid w:val="00D41D1E"/>
    <w:rsid w:val="00D41F7A"/>
    <w:rsid w:val="00D43431"/>
    <w:rsid w:val="00D4367E"/>
    <w:rsid w:val="00D43E2E"/>
    <w:rsid w:val="00D4416F"/>
    <w:rsid w:val="00D44A16"/>
    <w:rsid w:val="00D44B76"/>
    <w:rsid w:val="00D44CD9"/>
    <w:rsid w:val="00D45C7A"/>
    <w:rsid w:val="00D45FD4"/>
    <w:rsid w:val="00D47DF4"/>
    <w:rsid w:val="00D51A31"/>
    <w:rsid w:val="00D51CB5"/>
    <w:rsid w:val="00D522CA"/>
    <w:rsid w:val="00D52557"/>
    <w:rsid w:val="00D53063"/>
    <w:rsid w:val="00D5373B"/>
    <w:rsid w:val="00D53858"/>
    <w:rsid w:val="00D54318"/>
    <w:rsid w:val="00D54DE1"/>
    <w:rsid w:val="00D5631F"/>
    <w:rsid w:val="00D5632D"/>
    <w:rsid w:val="00D57FC7"/>
    <w:rsid w:val="00D61AFC"/>
    <w:rsid w:val="00D6259A"/>
    <w:rsid w:val="00D63272"/>
    <w:rsid w:val="00D63FB4"/>
    <w:rsid w:val="00D64398"/>
    <w:rsid w:val="00D6458E"/>
    <w:rsid w:val="00D6569B"/>
    <w:rsid w:val="00D657BB"/>
    <w:rsid w:val="00D715CE"/>
    <w:rsid w:val="00D72102"/>
    <w:rsid w:val="00D72B2B"/>
    <w:rsid w:val="00D74A98"/>
    <w:rsid w:val="00D75249"/>
    <w:rsid w:val="00D75F0B"/>
    <w:rsid w:val="00D768D3"/>
    <w:rsid w:val="00D769C9"/>
    <w:rsid w:val="00D81DC2"/>
    <w:rsid w:val="00D82C9C"/>
    <w:rsid w:val="00D82FB7"/>
    <w:rsid w:val="00D83211"/>
    <w:rsid w:val="00D84266"/>
    <w:rsid w:val="00D8458F"/>
    <w:rsid w:val="00D845CF"/>
    <w:rsid w:val="00D85760"/>
    <w:rsid w:val="00D858CA"/>
    <w:rsid w:val="00D8613C"/>
    <w:rsid w:val="00D86AD2"/>
    <w:rsid w:val="00D90BA6"/>
    <w:rsid w:val="00D910C6"/>
    <w:rsid w:val="00D911FB"/>
    <w:rsid w:val="00D94908"/>
    <w:rsid w:val="00D95711"/>
    <w:rsid w:val="00D96C19"/>
    <w:rsid w:val="00D96C92"/>
    <w:rsid w:val="00DA0AD6"/>
    <w:rsid w:val="00DA194E"/>
    <w:rsid w:val="00DA23E5"/>
    <w:rsid w:val="00DA3F7D"/>
    <w:rsid w:val="00DA465A"/>
    <w:rsid w:val="00DA5899"/>
    <w:rsid w:val="00DA5B5D"/>
    <w:rsid w:val="00DA61CC"/>
    <w:rsid w:val="00DB052C"/>
    <w:rsid w:val="00DB052E"/>
    <w:rsid w:val="00DB2ABD"/>
    <w:rsid w:val="00DB2FC6"/>
    <w:rsid w:val="00DB3102"/>
    <w:rsid w:val="00DB4472"/>
    <w:rsid w:val="00DB4588"/>
    <w:rsid w:val="00DB4836"/>
    <w:rsid w:val="00DB4EE3"/>
    <w:rsid w:val="00DB723C"/>
    <w:rsid w:val="00DB7726"/>
    <w:rsid w:val="00DB77AF"/>
    <w:rsid w:val="00DC07AD"/>
    <w:rsid w:val="00DC0DFF"/>
    <w:rsid w:val="00DC1AAE"/>
    <w:rsid w:val="00DC2C2F"/>
    <w:rsid w:val="00DC3482"/>
    <w:rsid w:val="00DC485F"/>
    <w:rsid w:val="00DC5419"/>
    <w:rsid w:val="00DC5642"/>
    <w:rsid w:val="00DC68C5"/>
    <w:rsid w:val="00DD13BD"/>
    <w:rsid w:val="00DD27CC"/>
    <w:rsid w:val="00DD3672"/>
    <w:rsid w:val="00DD4BC6"/>
    <w:rsid w:val="00DD598F"/>
    <w:rsid w:val="00DD6D2C"/>
    <w:rsid w:val="00DD7347"/>
    <w:rsid w:val="00DD7F84"/>
    <w:rsid w:val="00DE08B4"/>
    <w:rsid w:val="00DE21CE"/>
    <w:rsid w:val="00DE2EBC"/>
    <w:rsid w:val="00DE6A62"/>
    <w:rsid w:val="00DE6B4C"/>
    <w:rsid w:val="00DE729F"/>
    <w:rsid w:val="00DE7E0F"/>
    <w:rsid w:val="00DF04E9"/>
    <w:rsid w:val="00DF0DCA"/>
    <w:rsid w:val="00DF4826"/>
    <w:rsid w:val="00DF4C6C"/>
    <w:rsid w:val="00DF4D1A"/>
    <w:rsid w:val="00DF563E"/>
    <w:rsid w:val="00DF5FFD"/>
    <w:rsid w:val="00DF642C"/>
    <w:rsid w:val="00DF6ACA"/>
    <w:rsid w:val="00DF7474"/>
    <w:rsid w:val="00DF7730"/>
    <w:rsid w:val="00E016FC"/>
    <w:rsid w:val="00E0174C"/>
    <w:rsid w:val="00E01A98"/>
    <w:rsid w:val="00E01F4B"/>
    <w:rsid w:val="00E04328"/>
    <w:rsid w:val="00E0465E"/>
    <w:rsid w:val="00E05AD0"/>
    <w:rsid w:val="00E0709D"/>
    <w:rsid w:val="00E072C3"/>
    <w:rsid w:val="00E07A40"/>
    <w:rsid w:val="00E11703"/>
    <w:rsid w:val="00E12754"/>
    <w:rsid w:val="00E12924"/>
    <w:rsid w:val="00E13713"/>
    <w:rsid w:val="00E137DC"/>
    <w:rsid w:val="00E13CD7"/>
    <w:rsid w:val="00E14EA7"/>
    <w:rsid w:val="00E14F5D"/>
    <w:rsid w:val="00E158C3"/>
    <w:rsid w:val="00E15901"/>
    <w:rsid w:val="00E15E93"/>
    <w:rsid w:val="00E174C8"/>
    <w:rsid w:val="00E17692"/>
    <w:rsid w:val="00E17EB3"/>
    <w:rsid w:val="00E209E1"/>
    <w:rsid w:val="00E2122D"/>
    <w:rsid w:val="00E21C45"/>
    <w:rsid w:val="00E22EF3"/>
    <w:rsid w:val="00E23FC9"/>
    <w:rsid w:val="00E2491A"/>
    <w:rsid w:val="00E263A8"/>
    <w:rsid w:val="00E2652B"/>
    <w:rsid w:val="00E2662A"/>
    <w:rsid w:val="00E267EC"/>
    <w:rsid w:val="00E26F46"/>
    <w:rsid w:val="00E26F48"/>
    <w:rsid w:val="00E303FB"/>
    <w:rsid w:val="00E31701"/>
    <w:rsid w:val="00E338C7"/>
    <w:rsid w:val="00E357DA"/>
    <w:rsid w:val="00E3735E"/>
    <w:rsid w:val="00E37595"/>
    <w:rsid w:val="00E378E7"/>
    <w:rsid w:val="00E379A0"/>
    <w:rsid w:val="00E412C1"/>
    <w:rsid w:val="00E44255"/>
    <w:rsid w:val="00E446FF"/>
    <w:rsid w:val="00E45AB2"/>
    <w:rsid w:val="00E46025"/>
    <w:rsid w:val="00E465EA"/>
    <w:rsid w:val="00E47EE0"/>
    <w:rsid w:val="00E5108E"/>
    <w:rsid w:val="00E52750"/>
    <w:rsid w:val="00E5293C"/>
    <w:rsid w:val="00E5477C"/>
    <w:rsid w:val="00E558C7"/>
    <w:rsid w:val="00E57847"/>
    <w:rsid w:val="00E605D4"/>
    <w:rsid w:val="00E60F40"/>
    <w:rsid w:val="00E61EEB"/>
    <w:rsid w:val="00E620ED"/>
    <w:rsid w:val="00E6219C"/>
    <w:rsid w:val="00E6248C"/>
    <w:rsid w:val="00E629BF"/>
    <w:rsid w:val="00E6448C"/>
    <w:rsid w:val="00E65FF1"/>
    <w:rsid w:val="00E6693F"/>
    <w:rsid w:val="00E70045"/>
    <w:rsid w:val="00E71642"/>
    <w:rsid w:val="00E71E87"/>
    <w:rsid w:val="00E72F1A"/>
    <w:rsid w:val="00E732F7"/>
    <w:rsid w:val="00E737FC"/>
    <w:rsid w:val="00E74B7E"/>
    <w:rsid w:val="00E74D88"/>
    <w:rsid w:val="00E76497"/>
    <w:rsid w:val="00E77E30"/>
    <w:rsid w:val="00E803BC"/>
    <w:rsid w:val="00E803E6"/>
    <w:rsid w:val="00E80506"/>
    <w:rsid w:val="00E811A0"/>
    <w:rsid w:val="00E8156B"/>
    <w:rsid w:val="00E8179A"/>
    <w:rsid w:val="00E81BB2"/>
    <w:rsid w:val="00E82B84"/>
    <w:rsid w:val="00E82C05"/>
    <w:rsid w:val="00E84D9D"/>
    <w:rsid w:val="00E84E59"/>
    <w:rsid w:val="00E850D9"/>
    <w:rsid w:val="00E853D9"/>
    <w:rsid w:val="00E911EC"/>
    <w:rsid w:val="00E91213"/>
    <w:rsid w:val="00E914B6"/>
    <w:rsid w:val="00E9258C"/>
    <w:rsid w:val="00E93C9C"/>
    <w:rsid w:val="00E93D87"/>
    <w:rsid w:val="00E95368"/>
    <w:rsid w:val="00E96532"/>
    <w:rsid w:val="00E97189"/>
    <w:rsid w:val="00EA084E"/>
    <w:rsid w:val="00EA2627"/>
    <w:rsid w:val="00EA423B"/>
    <w:rsid w:val="00EA4BEB"/>
    <w:rsid w:val="00EB0271"/>
    <w:rsid w:val="00EB1F8A"/>
    <w:rsid w:val="00EB33E0"/>
    <w:rsid w:val="00EB3E59"/>
    <w:rsid w:val="00EB412C"/>
    <w:rsid w:val="00EB4EBD"/>
    <w:rsid w:val="00EB5074"/>
    <w:rsid w:val="00EB5583"/>
    <w:rsid w:val="00EB5B46"/>
    <w:rsid w:val="00EB5D11"/>
    <w:rsid w:val="00EB6847"/>
    <w:rsid w:val="00EB6985"/>
    <w:rsid w:val="00EC0703"/>
    <w:rsid w:val="00EC0957"/>
    <w:rsid w:val="00EC1452"/>
    <w:rsid w:val="00EC2C2A"/>
    <w:rsid w:val="00EC345D"/>
    <w:rsid w:val="00EC4B78"/>
    <w:rsid w:val="00EC4DF5"/>
    <w:rsid w:val="00EC6255"/>
    <w:rsid w:val="00EC6BDE"/>
    <w:rsid w:val="00ED0809"/>
    <w:rsid w:val="00ED0FD2"/>
    <w:rsid w:val="00ED3F73"/>
    <w:rsid w:val="00ED554F"/>
    <w:rsid w:val="00ED599B"/>
    <w:rsid w:val="00ED5C92"/>
    <w:rsid w:val="00ED5CE9"/>
    <w:rsid w:val="00ED6241"/>
    <w:rsid w:val="00ED683A"/>
    <w:rsid w:val="00ED7581"/>
    <w:rsid w:val="00EE0028"/>
    <w:rsid w:val="00EE0D18"/>
    <w:rsid w:val="00EE114A"/>
    <w:rsid w:val="00EE2EBB"/>
    <w:rsid w:val="00EE3008"/>
    <w:rsid w:val="00EE440E"/>
    <w:rsid w:val="00EE54B5"/>
    <w:rsid w:val="00EE5C49"/>
    <w:rsid w:val="00EE5E68"/>
    <w:rsid w:val="00EE69CA"/>
    <w:rsid w:val="00EE739B"/>
    <w:rsid w:val="00EE772D"/>
    <w:rsid w:val="00EE7A2A"/>
    <w:rsid w:val="00EF0702"/>
    <w:rsid w:val="00EF1A60"/>
    <w:rsid w:val="00EF333D"/>
    <w:rsid w:val="00EF37D3"/>
    <w:rsid w:val="00EF3CBD"/>
    <w:rsid w:val="00EF4B0E"/>
    <w:rsid w:val="00EF4F97"/>
    <w:rsid w:val="00EF62EE"/>
    <w:rsid w:val="00EF7B40"/>
    <w:rsid w:val="00F0092E"/>
    <w:rsid w:val="00F00AB3"/>
    <w:rsid w:val="00F01E8C"/>
    <w:rsid w:val="00F03B15"/>
    <w:rsid w:val="00F05B4E"/>
    <w:rsid w:val="00F05FAD"/>
    <w:rsid w:val="00F067CC"/>
    <w:rsid w:val="00F06DE5"/>
    <w:rsid w:val="00F07C5E"/>
    <w:rsid w:val="00F07D3D"/>
    <w:rsid w:val="00F11375"/>
    <w:rsid w:val="00F12F1D"/>
    <w:rsid w:val="00F13E28"/>
    <w:rsid w:val="00F14180"/>
    <w:rsid w:val="00F159E0"/>
    <w:rsid w:val="00F17470"/>
    <w:rsid w:val="00F1763F"/>
    <w:rsid w:val="00F202A8"/>
    <w:rsid w:val="00F20553"/>
    <w:rsid w:val="00F20912"/>
    <w:rsid w:val="00F21BBA"/>
    <w:rsid w:val="00F23E0E"/>
    <w:rsid w:val="00F23F04"/>
    <w:rsid w:val="00F26297"/>
    <w:rsid w:val="00F274A9"/>
    <w:rsid w:val="00F274D6"/>
    <w:rsid w:val="00F275A4"/>
    <w:rsid w:val="00F27B89"/>
    <w:rsid w:val="00F32213"/>
    <w:rsid w:val="00F3275E"/>
    <w:rsid w:val="00F32931"/>
    <w:rsid w:val="00F33D69"/>
    <w:rsid w:val="00F35008"/>
    <w:rsid w:val="00F3540A"/>
    <w:rsid w:val="00F3582B"/>
    <w:rsid w:val="00F36902"/>
    <w:rsid w:val="00F4024F"/>
    <w:rsid w:val="00F405CD"/>
    <w:rsid w:val="00F40BCB"/>
    <w:rsid w:val="00F411BE"/>
    <w:rsid w:val="00F4177E"/>
    <w:rsid w:val="00F41FD4"/>
    <w:rsid w:val="00F42A1A"/>
    <w:rsid w:val="00F42B63"/>
    <w:rsid w:val="00F43232"/>
    <w:rsid w:val="00F4378A"/>
    <w:rsid w:val="00F477C7"/>
    <w:rsid w:val="00F50320"/>
    <w:rsid w:val="00F505EC"/>
    <w:rsid w:val="00F505F2"/>
    <w:rsid w:val="00F55A41"/>
    <w:rsid w:val="00F57673"/>
    <w:rsid w:val="00F57A74"/>
    <w:rsid w:val="00F604EC"/>
    <w:rsid w:val="00F6162E"/>
    <w:rsid w:val="00F620DA"/>
    <w:rsid w:val="00F62B54"/>
    <w:rsid w:val="00F62BEA"/>
    <w:rsid w:val="00F6380D"/>
    <w:rsid w:val="00F641F3"/>
    <w:rsid w:val="00F64D80"/>
    <w:rsid w:val="00F64FDB"/>
    <w:rsid w:val="00F655D9"/>
    <w:rsid w:val="00F65821"/>
    <w:rsid w:val="00F6627B"/>
    <w:rsid w:val="00F666CC"/>
    <w:rsid w:val="00F673DB"/>
    <w:rsid w:val="00F67D1B"/>
    <w:rsid w:val="00F702B8"/>
    <w:rsid w:val="00F7068C"/>
    <w:rsid w:val="00F726DC"/>
    <w:rsid w:val="00F729EF"/>
    <w:rsid w:val="00F73518"/>
    <w:rsid w:val="00F73BE2"/>
    <w:rsid w:val="00F741AD"/>
    <w:rsid w:val="00F7498F"/>
    <w:rsid w:val="00F75E80"/>
    <w:rsid w:val="00F75F1F"/>
    <w:rsid w:val="00F7644D"/>
    <w:rsid w:val="00F76D43"/>
    <w:rsid w:val="00F803D4"/>
    <w:rsid w:val="00F8043E"/>
    <w:rsid w:val="00F81114"/>
    <w:rsid w:val="00F81313"/>
    <w:rsid w:val="00F81443"/>
    <w:rsid w:val="00F820E4"/>
    <w:rsid w:val="00F83D10"/>
    <w:rsid w:val="00F842DC"/>
    <w:rsid w:val="00F84390"/>
    <w:rsid w:val="00F8611F"/>
    <w:rsid w:val="00F86769"/>
    <w:rsid w:val="00F90091"/>
    <w:rsid w:val="00F94114"/>
    <w:rsid w:val="00F941A1"/>
    <w:rsid w:val="00F94308"/>
    <w:rsid w:val="00F95450"/>
    <w:rsid w:val="00F95517"/>
    <w:rsid w:val="00F96308"/>
    <w:rsid w:val="00FA4456"/>
    <w:rsid w:val="00FA4A37"/>
    <w:rsid w:val="00FA578D"/>
    <w:rsid w:val="00FA75D4"/>
    <w:rsid w:val="00FA7D36"/>
    <w:rsid w:val="00FB0CC9"/>
    <w:rsid w:val="00FB198E"/>
    <w:rsid w:val="00FB1F48"/>
    <w:rsid w:val="00FB384B"/>
    <w:rsid w:val="00FB4198"/>
    <w:rsid w:val="00FB544E"/>
    <w:rsid w:val="00FB65C3"/>
    <w:rsid w:val="00FB6685"/>
    <w:rsid w:val="00FB70F0"/>
    <w:rsid w:val="00FC0CA5"/>
    <w:rsid w:val="00FC136D"/>
    <w:rsid w:val="00FC1F2A"/>
    <w:rsid w:val="00FC1FB2"/>
    <w:rsid w:val="00FC2134"/>
    <w:rsid w:val="00FC369C"/>
    <w:rsid w:val="00FC3E53"/>
    <w:rsid w:val="00FC3FA4"/>
    <w:rsid w:val="00FC5408"/>
    <w:rsid w:val="00FC57AE"/>
    <w:rsid w:val="00FC70A3"/>
    <w:rsid w:val="00FD2AD1"/>
    <w:rsid w:val="00FD3068"/>
    <w:rsid w:val="00FD4852"/>
    <w:rsid w:val="00FD5048"/>
    <w:rsid w:val="00FD543B"/>
    <w:rsid w:val="00FD5785"/>
    <w:rsid w:val="00FD61A3"/>
    <w:rsid w:val="00FD65EA"/>
    <w:rsid w:val="00FD6B2A"/>
    <w:rsid w:val="00FD6EFE"/>
    <w:rsid w:val="00FD6FDC"/>
    <w:rsid w:val="00FE0B3D"/>
    <w:rsid w:val="00FE0F8B"/>
    <w:rsid w:val="00FE1506"/>
    <w:rsid w:val="00FE156B"/>
    <w:rsid w:val="00FE2B55"/>
    <w:rsid w:val="00FE2EDC"/>
    <w:rsid w:val="00FE3F48"/>
    <w:rsid w:val="00FE4181"/>
    <w:rsid w:val="00FE526A"/>
    <w:rsid w:val="00FE5280"/>
    <w:rsid w:val="00FE5899"/>
    <w:rsid w:val="00FE6313"/>
    <w:rsid w:val="00FE6364"/>
    <w:rsid w:val="00FE7138"/>
    <w:rsid w:val="00FF03FA"/>
    <w:rsid w:val="00FF0999"/>
    <w:rsid w:val="00FF0B22"/>
    <w:rsid w:val="00FF0F14"/>
    <w:rsid w:val="00FF1D65"/>
    <w:rsid w:val="00FF224A"/>
    <w:rsid w:val="00FF3A0C"/>
    <w:rsid w:val="00FF3B42"/>
    <w:rsid w:val="00FF41F5"/>
    <w:rsid w:val="00FF4647"/>
    <w:rsid w:val="00FF5F45"/>
    <w:rsid w:val="00FF6D4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colormru v:ext="edit" colors="#06c"/>
    </o:shapedefaults>
    <o:shapelayout v:ext="edit">
      <o:idmap v:ext="edit" data="1"/>
    </o:shapelayout>
  </w:shapeDefaults>
  <w:decimalSymbol w:val=","/>
  <w:listSeparator w:val=";"/>
  <w15:chartTrackingRefBased/>
  <w15:docId w15:val="{258E3C31-245B-4951-9995-799DD60B5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0703"/>
    <w:rPr>
      <w:sz w:val="24"/>
      <w:szCs w:val="24"/>
      <w:lang w:val="es-ES" w:eastAsia="es-ES"/>
    </w:rPr>
  </w:style>
  <w:style w:type="paragraph" w:styleId="Ttulo1">
    <w:name w:val="heading 1"/>
    <w:basedOn w:val="Normal"/>
    <w:next w:val="Normal"/>
    <w:link w:val="Ttulo1Car"/>
    <w:qFormat/>
    <w:rsid w:val="00371929"/>
    <w:pPr>
      <w:keepNext/>
      <w:numPr>
        <w:numId w:val="28"/>
      </w:numPr>
      <w:spacing w:before="240" w:after="60"/>
      <w:outlineLvl w:val="0"/>
    </w:pPr>
    <w:rPr>
      <w:rFonts w:ascii="Arial" w:hAnsi="Arial" w:cs="Arial"/>
      <w:b/>
      <w:bCs/>
      <w:kern w:val="32"/>
      <w:sz w:val="32"/>
      <w:szCs w:val="32"/>
    </w:rPr>
  </w:style>
  <w:style w:type="paragraph" w:styleId="Ttulo2">
    <w:name w:val="heading 2"/>
    <w:basedOn w:val="Normal"/>
    <w:next w:val="Normal"/>
    <w:qFormat/>
    <w:rsid w:val="00371929"/>
    <w:pPr>
      <w:keepNext/>
      <w:spacing w:before="240" w:after="60"/>
      <w:outlineLvl w:val="1"/>
    </w:pPr>
    <w:rPr>
      <w:rFonts w:ascii="Arial" w:hAnsi="Arial" w:cs="Arial"/>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EC0703"/>
    <w:pPr>
      <w:tabs>
        <w:tab w:val="center" w:pos="4252"/>
        <w:tab w:val="right" w:pos="8504"/>
      </w:tabs>
    </w:pPr>
  </w:style>
  <w:style w:type="paragraph" w:styleId="Piedepgina">
    <w:name w:val="footer"/>
    <w:basedOn w:val="Normal"/>
    <w:link w:val="PiedepginaCar"/>
    <w:uiPriority w:val="99"/>
    <w:rsid w:val="00EC0703"/>
    <w:pPr>
      <w:tabs>
        <w:tab w:val="center" w:pos="4252"/>
        <w:tab w:val="right" w:pos="8504"/>
      </w:tabs>
    </w:pPr>
  </w:style>
  <w:style w:type="paragraph" w:styleId="Textonotapie">
    <w:name w:val="footnote text"/>
    <w:basedOn w:val="Normal"/>
    <w:link w:val="TextonotapieCar"/>
    <w:semiHidden/>
    <w:rsid w:val="00281CE8"/>
    <w:rPr>
      <w:sz w:val="20"/>
      <w:szCs w:val="20"/>
    </w:rPr>
  </w:style>
  <w:style w:type="character" w:styleId="Refdenotaalpie">
    <w:name w:val="footnote reference"/>
    <w:semiHidden/>
    <w:rsid w:val="00281CE8"/>
    <w:rPr>
      <w:vertAlign w:val="superscript"/>
    </w:rPr>
  </w:style>
  <w:style w:type="character" w:styleId="Nmerodepgina">
    <w:name w:val="page number"/>
    <w:basedOn w:val="Fuentedeprrafopredeter"/>
    <w:rsid w:val="006A33AF"/>
  </w:style>
  <w:style w:type="paragraph" w:styleId="Textodeglobo">
    <w:name w:val="Balloon Text"/>
    <w:basedOn w:val="Normal"/>
    <w:semiHidden/>
    <w:rsid w:val="006A33AF"/>
    <w:rPr>
      <w:rFonts w:ascii="Tahoma" w:hAnsi="Tahoma" w:cs="Tahoma"/>
      <w:sz w:val="16"/>
      <w:szCs w:val="16"/>
    </w:rPr>
  </w:style>
  <w:style w:type="character" w:customStyle="1" w:styleId="Ttulo1Car">
    <w:name w:val="Título 1 Car"/>
    <w:link w:val="Ttulo1"/>
    <w:rsid w:val="00371929"/>
    <w:rPr>
      <w:rFonts w:ascii="Arial" w:hAnsi="Arial" w:cs="Arial"/>
      <w:b/>
      <w:bCs/>
      <w:kern w:val="32"/>
      <w:sz w:val="32"/>
      <w:szCs w:val="32"/>
      <w:lang w:val="es-ES" w:eastAsia="es-ES" w:bidi="ar-SA"/>
    </w:rPr>
  </w:style>
  <w:style w:type="paragraph" w:styleId="TDC1">
    <w:name w:val="toc 1"/>
    <w:basedOn w:val="Normal"/>
    <w:next w:val="Normal"/>
    <w:link w:val="TDC1Car"/>
    <w:autoRedefine/>
    <w:uiPriority w:val="99"/>
    <w:rsid w:val="00E072C3"/>
    <w:pPr>
      <w:tabs>
        <w:tab w:val="left" w:pos="480"/>
        <w:tab w:val="right" w:leader="underscore" w:pos="8647"/>
      </w:tabs>
      <w:spacing w:before="480"/>
      <w:jc w:val="center"/>
    </w:pPr>
    <w:rPr>
      <w:rFonts w:ascii="Calibri" w:hAnsi="Calibri"/>
      <w:bCs/>
      <w:i/>
      <w:iCs/>
      <w:noProof/>
    </w:rPr>
  </w:style>
  <w:style w:type="paragraph" w:styleId="TDC2">
    <w:name w:val="toc 2"/>
    <w:basedOn w:val="Normal"/>
    <w:next w:val="Normal"/>
    <w:autoRedefine/>
    <w:uiPriority w:val="39"/>
    <w:rsid w:val="00310C4F"/>
    <w:pPr>
      <w:tabs>
        <w:tab w:val="right" w:leader="dot" w:pos="8637"/>
      </w:tabs>
      <w:spacing w:before="240"/>
    </w:pPr>
    <w:rPr>
      <w:b/>
      <w:bCs/>
      <w:sz w:val="22"/>
      <w:szCs w:val="22"/>
    </w:rPr>
  </w:style>
  <w:style w:type="paragraph" w:styleId="TDC3">
    <w:name w:val="toc 3"/>
    <w:basedOn w:val="Normal"/>
    <w:next w:val="Normal"/>
    <w:autoRedefine/>
    <w:uiPriority w:val="39"/>
    <w:rsid w:val="00371929"/>
    <w:pPr>
      <w:ind w:left="480"/>
    </w:pPr>
    <w:rPr>
      <w:sz w:val="20"/>
      <w:szCs w:val="20"/>
    </w:rPr>
  </w:style>
  <w:style w:type="paragraph" w:styleId="TDC4">
    <w:name w:val="toc 4"/>
    <w:basedOn w:val="Normal"/>
    <w:next w:val="Normal"/>
    <w:autoRedefine/>
    <w:semiHidden/>
    <w:rsid w:val="00371929"/>
    <w:pPr>
      <w:ind w:left="720"/>
    </w:pPr>
    <w:rPr>
      <w:sz w:val="20"/>
      <w:szCs w:val="20"/>
    </w:rPr>
  </w:style>
  <w:style w:type="paragraph" w:styleId="TDC5">
    <w:name w:val="toc 5"/>
    <w:basedOn w:val="Normal"/>
    <w:next w:val="Normal"/>
    <w:autoRedefine/>
    <w:semiHidden/>
    <w:rsid w:val="00371929"/>
    <w:pPr>
      <w:ind w:left="960"/>
    </w:pPr>
    <w:rPr>
      <w:sz w:val="20"/>
      <w:szCs w:val="20"/>
    </w:rPr>
  </w:style>
  <w:style w:type="paragraph" w:styleId="TDC6">
    <w:name w:val="toc 6"/>
    <w:basedOn w:val="Normal"/>
    <w:next w:val="Normal"/>
    <w:autoRedefine/>
    <w:semiHidden/>
    <w:rsid w:val="00371929"/>
    <w:pPr>
      <w:ind w:left="1200"/>
    </w:pPr>
    <w:rPr>
      <w:sz w:val="20"/>
      <w:szCs w:val="20"/>
    </w:rPr>
  </w:style>
  <w:style w:type="paragraph" w:styleId="TDC7">
    <w:name w:val="toc 7"/>
    <w:basedOn w:val="Normal"/>
    <w:next w:val="Normal"/>
    <w:autoRedefine/>
    <w:semiHidden/>
    <w:rsid w:val="00371929"/>
    <w:pPr>
      <w:ind w:left="1440"/>
    </w:pPr>
    <w:rPr>
      <w:sz w:val="20"/>
      <w:szCs w:val="20"/>
    </w:rPr>
  </w:style>
  <w:style w:type="paragraph" w:styleId="TDC8">
    <w:name w:val="toc 8"/>
    <w:basedOn w:val="Normal"/>
    <w:next w:val="Normal"/>
    <w:autoRedefine/>
    <w:semiHidden/>
    <w:rsid w:val="00371929"/>
    <w:pPr>
      <w:ind w:left="1680"/>
    </w:pPr>
    <w:rPr>
      <w:sz w:val="20"/>
      <w:szCs w:val="20"/>
    </w:rPr>
  </w:style>
  <w:style w:type="paragraph" w:styleId="TDC9">
    <w:name w:val="toc 9"/>
    <w:basedOn w:val="Normal"/>
    <w:next w:val="Normal"/>
    <w:autoRedefine/>
    <w:semiHidden/>
    <w:rsid w:val="00371929"/>
    <w:pPr>
      <w:ind w:left="1920"/>
    </w:pPr>
    <w:rPr>
      <w:sz w:val="20"/>
      <w:szCs w:val="20"/>
    </w:rPr>
  </w:style>
  <w:style w:type="character" w:styleId="Hipervnculo">
    <w:name w:val="Hyperlink"/>
    <w:uiPriority w:val="99"/>
    <w:rsid w:val="00371929"/>
    <w:rPr>
      <w:color w:val="0000FF"/>
      <w:u w:val="single"/>
    </w:rPr>
  </w:style>
  <w:style w:type="character" w:customStyle="1" w:styleId="PiedepginaCar">
    <w:name w:val="Pie de página Car"/>
    <w:link w:val="Piedepgina"/>
    <w:uiPriority w:val="99"/>
    <w:rsid w:val="00460E04"/>
    <w:rPr>
      <w:sz w:val="24"/>
      <w:szCs w:val="24"/>
      <w:lang w:val="es-ES" w:eastAsia="es-ES"/>
    </w:rPr>
  </w:style>
  <w:style w:type="character" w:customStyle="1" w:styleId="EncabezadoCar">
    <w:name w:val="Encabezado Car"/>
    <w:link w:val="Encabezado"/>
    <w:uiPriority w:val="99"/>
    <w:rsid w:val="00763342"/>
    <w:rPr>
      <w:sz w:val="24"/>
      <w:szCs w:val="24"/>
      <w:lang w:val="es-ES" w:eastAsia="es-ES"/>
    </w:rPr>
  </w:style>
  <w:style w:type="paragraph" w:styleId="Prrafodelista">
    <w:name w:val="List Paragraph"/>
    <w:basedOn w:val="Normal"/>
    <w:uiPriority w:val="34"/>
    <w:qFormat/>
    <w:rsid w:val="007B6CDB"/>
    <w:pPr>
      <w:ind w:left="720"/>
      <w:contextualSpacing/>
    </w:pPr>
  </w:style>
  <w:style w:type="paragraph" w:styleId="Sinespaciado">
    <w:name w:val="No Spacing"/>
    <w:link w:val="SinespaciadoCar"/>
    <w:uiPriority w:val="1"/>
    <w:qFormat/>
    <w:rsid w:val="00BC162C"/>
    <w:rPr>
      <w:rFonts w:ascii="Calibri" w:hAnsi="Calibri"/>
      <w:sz w:val="22"/>
      <w:szCs w:val="22"/>
    </w:rPr>
  </w:style>
  <w:style w:type="character" w:customStyle="1" w:styleId="SinespaciadoCar">
    <w:name w:val="Sin espaciado Car"/>
    <w:link w:val="Sinespaciado"/>
    <w:uiPriority w:val="1"/>
    <w:rsid w:val="00BC162C"/>
    <w:rPr>
      <w:rFonts w:ascii="Calibri" w:eastAsia="Times New Roman" w:hAnsi="Calibri" w:cs="Times New Roman"/>
      <w:sz w:val="22"/>
      <w:szCs w:val="22"/>
    </w:rPr>
  </w:style>
  <w:style w:type="paragraph" w:styleId="Revisin">
    <w:name w:val="Revision"/>
    <w:hidden/>
    <w:uiPriority w:val="99"/>
    <w:semiHidden/>
    <w:rsid w:val="0051212E"/>
    <w:rPr>
      <w:sz w:val="24"/>
      <w:szCs w:val="24"/>
      <w:lang w:val="es-ES" w:eastAsia="es-ES"/>
    </w:rPr>
  </w:style>
  <w:style w:type="table" w:styleId="Tablaconcuadrcula">
    <w:name w:val="Table Grid"/>
    <w:basedOn w:val="Tablanormal"/>
    <w:rsid w:val="000B74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adros1">
    <w:name w:val="Cuadros1"/>
    <w:basedOn w:val="Normal"/>
    <w:link w:val="Cuadros1Car"/>
    <w:qFormat/>
    <w:rsid w:val="00FD6FDC"/>
    <w:pPr>
      <w:suppressAutoHyphens/>
      <w:spacing w:after="120"/>
      <w:jc w:val="center"/>
    </w:pPr>
    <w:rPr>
      <w:rFonts w:ascii="Calibri" w:hAnsi="Calibri"/>
      <w:b/>
    </w:rPr>
  </w:style>
  <w:style w:type="paragraph" w:customStyle="1" w:styleId="Cuadros2">
    <w:name w:val="Cuadros2"/>
    <w:basedOn w:val="Normal"/>
    <w:link w:val="Cuadros2Car"/>
    <w:qFormat/>
    <w:rsid w:val="00FD6FDC"/>
    <w:pPr>
      <w:suppressAutoHyphens/>
      <w:spacing w:after="120"/>
      <w:jc w:val="center"/>
    </w:pPr>
    <w:rPr>
      <w:rFonts w:ascii="Calibri" w:hAnsi="Calibri"/>
      <w:b/>
      <w:sz w:val="22"/>
      <w:szCs w:val="22"/>
    </w:rPr>
  </w:style>
  <w:style w:type="character" w:customStyle="1" w:styleId="Cuadros1Car">
    <w:name w:val="Cuadros1 Car"/>
    <w:link w:val="Cuadros1"/>
    <w:rsid w:val="00FD6FDC"/>
    <w:rPr>
      <w:rFonts w:ascii="Calibri" w:hAnsi="Calibri"/>
      <w:b/>
      <w:sz w:val="24"/>
      <w:szCs w:val="24"/>
      <w:lang w:val="es-ES" w:eastAsia="es-ES"/>
    </w:rPr>
  </w:style>
  <w:style w:type="character" w:customStyle="1" w:styleId="Cuadros2Car">
    <w:name w:val="Cuadros2 Car"/>
    <w:link w:val="Cuadros2"/>
    <w:rsid w:val="00FD6FDC"/>
    <w:rPr>
      <w:rFonts w:ascii="Calibri" w:hAnsi="Calibri"/>
      <w:b/>
      <w:sz w:val="22"/>
      <w:szCs w:val="22"/>
      <w:lang w:val="es-ES" w:eastAsia="es-ES"/>
    </w:rPr>
  </w:style>
  <w:style w:type="paragraph" w:customStyle="1" w:styleId="ListParagraph">
    <w:name w:val="List Paragraph"/>
    <w:basedOn w:val="Normal"/>
    <w:rsid w:val="006270C0"/>
    <w:pPr>
      <w:ind w:left="720"/>
      <w:contextualSpacing/>
    </w:pPr>
  </w:style>
  <w:style w:type="character" w:customStyle="1" w:styleId="TextonotapieCar">
    <w:name w:val="Texto nota pie Car"/>
    <w:link w:val="Textonotapie"/>
    <w:semiHidden/>
    <w:locked/>
    <w:rsid w:val="00CD27F2"/>
    <w:rPr>
      <w:lang w:val="es-ES" w:eastAsia="es-ES" w:bidi="ar-SA"/>
    </w:rPr>
  </w:style>
  <w:style w:type="character" w:customStyle="1" w:styleId="TDC1Car">
    <w:name w:val="TDC 1 Car"/>
    <w:link w:val="TDC1"/>
    <w:uiPriority w:val="99"/>
    <w:locked/>
    <w:rsid w:val="00D63272"/>
    <w:rPr>
      <w:rFonts w:ascii="Calibri" w:hAnsi="Calibri"/>
      <w:bCs/>
      <w:i/>
      <w:iCs/>
      <w:noProof/>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097319">
      <w:bodyDiv w:val="1"/>
      <w:marLeft w:val="0"/>
      <w:marRight w:val="0"/>
      <w:marTop w:val="0"/>
      <w:marBottom w:val="0"/>
      <w:divBdr>
        <w:top w:val="none" w:sz="0" w:space="0" w:color="auto"/>
        <w:left w:val="none" w:sz="0" w:space="0" w:color="auto"/>
        <w:bottom w:val="none" w:sz="0" w:space="0" w:color="auto"/>
        <w:right w:val="none" w:sz="0" w:space="0" w:color="auto"/>
      </w:divBdr>
    </w:div>
    <w:div w:id="94446326">
      <w:bodyDiv w:val="1"/>
      <w:marLeft w:val="0"/>
      <w:marRight w:val="0"/>
      <w:marTop w:val="0"/>
      <w:marBottom w:val="0"/>
      <w:divBdr>
        <w:top w:val="none" w:sz="0" w:space="0" w:color="auto"/>
        <w:left w:val="none" w:sz="0" w:space="0" w:color="auto"/>
        <w:bottom w:val="none" w:sz="0" w:space="0" w:color="auto"/>
        <w:right w:val="none" w:sz="0" w:space="0" w:color="auto"/>
      </w:divBdr>
    </w:div>
    <w:div w:id="94642177">
      <w:bodyDiv w:val="1"/>
      <w:marLeft w:val="0"/>
      <w:marRight w:val="0"/>
      <w:marTop w:val="0"/>
      <w:marBottom w:val="0"/>
      <w:divBdr>
        <w:top w:val="none" w:sz="0" w:space="0" w:color="auto"/>
        <w:left w:val="none" w:sz="0" w:space="0" w:color="auto"/>
        <w:bottom w:val="none" w:sz="0" w:space="0" w:color="auto"/>
        <w:right w:val="none" w:sz="0" w:space="0" w:color="auto"/>
      </w:divBdr>
    </w:div>
    <w:div w:id="169831660">
      <w:bodyDiv w:val="1"/>
      <w:marLeft w:val="0"/>
      <w:marRight w:val="0"/>
      <w:marTop w:val="0"/>
      <w:marBottom w:val="0"/>
      <w:divBdr>
        <w:top w:val="none" w:sz="0" w:space="0" w:color="auto"/>
        <w:left w:val="none" w:sz="0" w:space="0" w:color="auto"/>
        <w:bottom w:val="none" w:sz="0" w:space="0" w:color="auto"/>
        <w:right w:val="none" w:sz="0" w:space="0" w:color="auto"/>
      </w:divBdr>
    </w:div>
    <w:div w:id="212892766">
      <w:bodyDiv w:val="1"/>
      <w:marLeft w:val="0"/>
      <w:marRight w:val="0"/>
      <w:marTop w:val="0"/>
      <w:marBottom w:val="0"/>
      <w:divBdr>
        <w:top w:val="none" w:sz="0" w:space="0" w:color="auto"/>
        <w:left w:val="none" w:sz="0" w:space="0" w:color="auto"/>
        <w:bottom w:val="none" w:sz="0" w:space="0" w:color="auto"/>
        <w:right w:val="none" w:sz="0" w:space="0" w:color="auto"/>
      </w:divBdr>
    </w:div>
    <w:div w:id="233663541">
      <w:bodyDiv w:val="1"/>
      <w:marLeft w:val="0"/>
      <w:marRight w:val="0"/>
      <w:marTop w:val="0"/>
      <w:marBottom w:val="0"/>
      <w:divBdr>
        <w:top w:val="none" w:sz="0" w:space="0" w:color="auto"/>
        <w:left w:val="none" w:sz="0" w:space="0" w:color="auto"/>
        <w:bottom w:val="none" w:sz="0" w:space="0" w:color="auto"/>
        <w:right w:val="none" w:sz="0" w:space="0" w:color="auto"/>
      </w:divBdr>
    </w:div>
    <w:div w:id="237135421">
      <w:bodyDiv w:val="1"/>
      <w:marLeft w:val="0"/>
      <w:marRight w:val="0"/>
      <w:marTop w:val="0"/>
      <w:marBottom w:val="0"/>
      <w:divBdr>
        <w:top w:val="none" w:sz="0" w:space="0" w:color="auto"/>
        <w:left w:val="none" w:sz="0" w:space="0" w:color="auto"/>
        <w:bottom w:val="none" w:sz="0" w:space="0" w:color="auto"/>
        <w:right w:val="none" w:sz="0" w:space="0" w:color="auto"/>
      </w:divBdr>
    </w:div>
    <w:div w:id="243228583">
      <w:bodyDiv w:val="1"/>
      <w:marLeft w:val="0"/>
      <w:marRight w:val="0"/>
      <w:marTop w:val="0"/>
      <w:marBottom w:val="0"/>
      <w:divBdr>
        <w:top w:val="none" w:sz="0" w:space="0" w:color="auto"/>
        <w:left w:val="none" w:sz="0" w:space="0" w:color="auto"/>
        <w:bottom w:val="none" w:sz="0" w:space="0" w:color="auto"/>
        <w:right w:val="none" w:sz="0" w:space="0" w:color="auto"/>
      </w:divBdr>
    </w:div>
    <w:div w:id="247813035">
      <w:bodyDiv w:val="1"/>
      <w:marLeft w:val="0"/>
      <w:marRight w:val="0"/>
      <w:marTop w:val="0"/>
      <w:marBottom w:val="0"/>
      <w:divBdr>
        <w:top w:val="none" w:sz="0" w:space="0" w:color="auto"/>
        <w:left w:val="none" w:sz="0" w:space="0" w:color="auto"/>
        <w:bottom w:val="none" w:sz="0" w:space="0" w:color="auto"/>
        <w:right w:val="none" w:sz="0" w:space="0" w:color="auto"/>
      </w:divBdr>
    </w:div>
    <w:div w:id="258952747">
      <w:bodyDiv w:val="1"/>
      <w:marLeft w:val="0"/>
      <w:marRight w:val="0"/>
      <w:marTop w:val="0"/>
      <w:marBottom w:val="0"/>
      <w:divBdr>
        <w:top w:val="none" w:sz="0" w:space="0" w:color="auto"/>
        <w:left w:val="none" w:sz="0" w:space="0" w:color="auto"/>
        <w:bottom w:val="none" w:sz="0" w:space="0" w:color="auto"/>
        <w:right w:val="none" w:sz="0" w:space="0" w:color="auto"/>
      </w:divBdr>
    </w:div>
    <w:div w:id="316424386">
      <w:bodyDiv w:val="1"/>
      <w:marLeft w:val="0"/>
      <w:marRight w:val="0"/>
      <w:marTop w:val="0"/>
      <w:marBottom w:val="0"/>
      <w:divBdr>
        <w:top w:val="none" w:sz="0" w:space="0" w:color="auto"/>
        <w:left w:val="none" w:sz="0" w:space="0" w:color="auto"/>
        <w:bottom w:val="none" w:sz="0" w:space="0" w:color="auto"/>
        <w:right w:val="none" w:sz="0" w:space="0" w:color="auto"/>
      </w:divBdr>
    </w:div>
    <w:div w:id="332950492">
      <w:bodyDiv w:val="1"/>
      <w:marLeft w:val="0"/>
      <w:marRight w:val="0"/>
      <w:marTop w:val="0"/>
      <w:marBottom w:val="0"/>
      <w:divBdr>
        <w:top w:val="none" w:sz="0" w:space="0" w:color="auto"/>
        <w:left w:val="none" w:sz="0" w:space="0" w:color="auto"/>
        <w:bottom w:val="none" w:sz="0" w:space="0" w:color="auto"/>
        <w:right w:val="none" w:sz="0" w:space="0" w:color="auto"/>
      </w:divBdr>
    </w:div>
    <w:div w:id="333996573">
      <w:bodyDiv w:val="1"/>
      <w:marLeft w:val="0"/>
      <w:marRight w:val="0"/>
      <w:marTop w:val="0"/>
      <w:marBottom w:val="0"/>
      <w:divBdr>
        <w:top w:val="none" w:sz="0" w:space="0" w:color="auto"/>
        <w:left w:val="none" w:sz="0" w:space="0" w:color="auto"/>
        <w:bottom w:val="none" w:sz="0" w:space="0" w:color="auto"/>
        <w:right w:val="none" w:sz="0" w:space="0" w:color="auto"/>
      </w:divBdr>
    </w:div>
    <w:div w:id="397092504">
      <w:bodyDiv w:val="1"/>
      <w:marLeft w:val="0"/>
      <w:marRight w:val="0"/>
      <w:marTop w:val="0"/>
      <w:marBottom w:val="0"/>
      <w:divBdr>
        <w:top w:val="none" w:sz="0" w:space="0" w:color="auto"/>
        <w:left w:val="none" w:sz="0" w:space="0" w:color="auto"/>
        <w:bottom w:val="none" w:sz="0" w:space="0" w:color="auto"/>
        <w:right w:val="none" w:sz="0" w:space="0" w:color="auto"/>
      </w:divBdr>
    </w:div>
    <w:div w:id="410662174">
      <w:bodyDiv w:val="1"/>
      <w:marLeft w:val="0"/>
      <w:marRight w:val="0"/>
      <w:marTop w:val="0"/>
      <w:marBottom w:val="0"/>
      <w:divBdr>
        <w:top w:val="none" w:sz="0" w:space="0" w:color="auto"/>
        <w:left w:val="none" w:sz="0" w:space="0" w:color="auto"/>
        <w:bottom w:val="none" w:sz="0" w:space="0" w:color="auto"/>
        <w:right w:val="none" w:sz="0" w:space="0" w:color="auto"/>
      </w:divBdr>
    </w:div>
    <w:div w:id="452596785">
      <w:bodyDiv w:val="1"/>
      <w:marLeft w:val="0"/>
      <w:marRight w:val="0"/>
      <w:marTop w:val="0"/>
      <w:marBottom w:val="0"/>
      <w:divBdr>
        <w:top w:val="none" w:sz="0" w:space="0" w:color="auto"/>
        <w:left w:val="none" w:sz="0" w:space="0" w:color="auto"/>
        <w:bottom w:val="none" w:sz="0" w:space="0" w:color="auto"/>
        <w:right w:val="none" w:sz="0" w:space="0" w:color="auto"/>
      </w:divBdr>
    </w:div>
    <w:div w:id="539393085">
      <w:bodyDiv w:val="1"/>
      <w:marLeft w:val="0"/>
      <w:marRight w:val="0"/>
      <w:marTop w:val="0"/>
      <w:marBottom w:val="0"/>
      <w:divBdr>
        <w:top w:val="none" w:sz="0" w:space="0" w:color="auto"/>
        <w:left w:val="none" w:sz="0" w:space="0" w:color="auto"/>
        <w:bottom w:val="none" w:sz="0" w:space="0" w:color="auto"/>
        <w:right w:val="none" w:sz="0" w:space="0" w:color="auto"/>
      </w:divBdr>
    </w:div>
    <w:div w:id="571476417">
      <w:bodyDiv w:val="1"/>
      <w:marLeft w:val="0"/>
      <w:marRight w:val="0"/>
      <w:marTop w:val="0"/>
      <w:marBottom w:val="0"/>
      <w:divBdr>
        <w:top w:val="none" w:sz="0" w:space="0" w:color="auto"/>
        <w:left w:val="none" w:sz="0" w:space="0" w:color="auto"/>
        <w:bottom w:val="none" w:sz="0" w:space="0" w:color="auto"/>
        <w:right w:val="none" w:sz="0" w:space="0" w:color="auto"/>
      </w:divBdr>
    </w:div>
    <w:div w:id="658265080">
      <w:bodyDiv w:val="1"/>
      <w:marLeft w:val="0"/>
      <w:marRight w:val="0"/>
      <w:marTop w:val="0"/>
      <w:marBottom w:val="0"/>
      <w:divBdr>
        <w:top w:val="none" w:sz="0" w:space="0" w:color="auto"/>
        <w:left w:val="none" w:sz="0" w:space="0" w:color="auto"/>
        <w:bottom w:val="none" w:sz="0" w:space="0" w:color="auto"/>
        <w:right w:val="none" w:sz="0" w:space="0" w:color="auto"/>
      </w:divBdr>
    </w:div>
    <w:div w:id="670528771">
      <w:bodyDiv w:val="1"/>
      <w:marLeft w:val="0"/>
      <w:marRight w:val="0"/>
      <w:marTop w:val="0"/>
      <w:marBottom w:val="0"/>
      <w:divBdr>
        <w:top w:val="none" w:sz="0" w:space="0" w:color="auto"/>
        <w:left w:val="none" w:sz="0" w:space="0" w:color="auto"/>
        <w:bottom w:val="none" w:sz="0" w:space="0" w:color="auto"/>
        <w:right w:val="none" w:sz="0" w:space="0" w:color="auto"/>
      </w:divBdr>
    </w:div>
    <w:div w:id="681709188">
      <w:bodyDiv w:val="1"/>
      <w:marLeft w:val="0"/>
      <w:marRight w:val="0"/>
      <w:marTop w:val="0"/>
      <w:marBottom w:val="0"/>
      <w:divBdr>
        <w:top w:val="none" w:sz="0" w:space="0" w:color="auto"/>
        <w:left w:val="none" w:sz="0" w:space="0" w:color="auto"/>
        <w:bottom w:val="none" w:sz="0" w:space="0" w:color="auto"/>
        <w:right w:val="none" w:sz="0" w:space="0" w:color="auto"/>
      </w:divBdr>
    </w:div>
    <w:div w:id="736630481">
      <w:bodyDiv w:val="1"/>
      <w:marLeft w:val="0"/>
      <w:marRight w:val="0"/>
      <w:marTop w:val="0"/>
      <w:marBottom w:val="0"/>
      <w:divBdr>
        <w:top w:val="none" w:sz="0" w:space="0" w:color="auto"/>
        <w:left w:val="none" w:sz="0" w:space="0" w:color="auto"/>
        <w:bottom w:val="none" w:sz="0" w:space="0" w:color="auto"/>
        <w:right w:val="none" w:sz="0" w:space="0" w:color="auto"/>
      </w:divBdr>
    </w:div>
    <w:div w:id="751514514">
      <w:bodyDiv w:val="1"/>
      <w:marLeft w:val="0"/>
      <w:marRight w:val="0"/>
      <w:marTop w:val="0"/>
      <w:marBottom w:val="0"/>
      <w:divBdr>
        <w:top w:val="none" w:sz="0" w:space="0" w:color="auto"/>
        <w:left w:val="none" w:sz="0" w:space="0" w:color="auto"/>
        <w:bottom w:val="none" w:sz="0" w:space="0" w:color="auto"/>
        <w:right w:val="none" w:sz="0" w:space="0" w:color="auto"/>
      </w:divBdr>
    </w:div>
    <w:div w:id="755135442">
      <w:bodyDiv w:val="1"/>
      <w:marLeft w:val="0"/>
      <w:marRight w:val="0"/>
      <w:marTop w:val="0"/>
      <w:marBottom w:val="0"/>
      <w:divBdr>
        <w:top w:val="none" w:sz="0" w:space="0" w:color="auto"/>
        <w:left w:val="none" w:sz="0" w:space="0" w:color="auto"/>
        <w:bottom w:val="none" w:sz="0" w:space="0" w:color="auto"/>
        <w:right w:val="none" w:sz="0" w:space="0" w:color="auto"/>
      </w:divBdr>
    </w:div>
    <w:div w:id="804196087">
      <w:bodyDiv w:val="1"/>
      <w:marLeft w:val="0"/>
      <w:marRight w:val="0"/>
      <w:marTop w:val="0"/>
      <w:marBottom w:val="0"/>
      <w:divBdr>
        <w:top w:val="none" w:sz="0" w:space="0" w:color="auto"/>
        <w:left w:val="none" w:sz="0" w:space="0" w:color="auto"/>
        <w:bottom w:val="none" w:sz="0" w:space="0" w:color="auto"/>
        <w:right w:val="none" w:sz="0" w:space="0" w:color="auto"/>
      </w:divBdr>
    </w:div>
    <w:div w:id="839924617">
      <w:bodyDiv w:val="1"/>
      <w:marLeft w:val="0"/>
      <w:marRight w:val="0"/>
      <w:marTop w:val="0"/>
      <w:marBottom w:val="0"/>
      <w:divBdr>
        <w:top w:val="none" w:sz="0" w:space="0" w:color="auto"/>
        <w:left w:val="none" w:sz="0" w:space="0" w:color="auto"/>
        <w:bottom w:val="none" w:sz="0" w:space="0" w:color="auto"/>
        <w:right w:val="none" w:sz="0" w:space="0" w:color="auto"/>
      </w:divBdr>
    </w:div>
    <w:div w:id="845439623">
      <w:bodyDiv w:val="1"/>
      <w:marLeft w:val="0"/>
      <w:marRight w:val="0"/>
      <w:marTop w:val="0"/>
      <w:marBottom w:val="0"/>
      <w:divBdr>
        <w:top w:val="none" w:sz="0" w:space="0" w:color="auto"/>
        <w:left w:val="none" w:sz="0" w:space="0" w:color="auto"/>
        <w:bottom w:val="none" w:sz="0" w:space="0" w:color="auto"/>
        <w:right w:val="none" w:sz="0" w:space="0" w:color="auto"/>
      </w:divBdr>
    </w:div>
    <w:div w:id="864825919">
      <w:bodyDiv w:val="1"/>
      <w:marLeft w:val="0"/>
      <w:marRight w:val="0"/>
      <w:marTop w:val="0"/>
      <w:marBottom w:val="0"/>
      <w:divBdr>
        <w:top w:val="none" w:sz="0" w:space="0" w:color="auto"/>
        <w:left w:val="none" w:sz="0" w:space="0" w:color="auto"/>
        <w:bottom w:val="none" w:sz="0" w:space="0" w:color="auto"/>
        <w:right w:val="none" w:sz="0" w:space="0" w:color="auto"/>
      </w:divBdr>
    </w:div>
    <w:div w:id="868564143">
      <w:bodyDiv w:val="1"/>
      <w:marLeft w:val="0"/>
      <w:marRight w:val="0"/>
      <w:marTop w:val="0"/>
      <w:marBottom w:val="0"/>
      <w:divBdr>
        <w:top w:val="none" w:sz="0" w:space="0" w:color="auto"/>
        <w:left w:val="none" w:sz="0" w:space="0" w:color="auto"/>
        <w:bottom w:val="none" w:sz="0" w:space="0" w:color="auto"/>
        <w:right w:val="none" w:sz="0" w:space="0" w:color="auto"/>
      </w:divBdr>
    </w:div>
    <w:div w:id="904485996">
      <w:bodyDiv w:val="1"/>
      <w:marLeft w:val="0"/>
      <w:marRight w:val="0"/>
      <w:marTop w:val="0"/>
      <w:marBottom w:val="0"/>
      <w:divBdr>
        <w:top w:val="none" w:sz="0" w:space="0" w:color="auto"/>
        <w:left w:val="none" w:sz="0" w:space="0" w:color="auto"/>
        <w:bottom w:val="none" w:sz="0" w:space="0" w:color="auto"/>
        <w:right w:val="none" w:sz="0" w:space="0" w:color="auto"/>
      </w:divBdr>
    </w:div>
    <w:div w:id="948316777">
      <w:bodyDiv w:val="1"/>
      <w:marLeft w:val="0"/>
      <w:marRight w:val="0"/>
      <w:marTop w:val="0"/>
      <w:marBottom w:val="0"/>
      <w:divBdr>
        <w:top w:val="none" w:sz="0" w:space="0" w:color="auto"/>
        <w:left w:val="none" w:sz="0" w:space="0" w:color="auto"/>
        <w:bottom w:val="none" w:sz="0" w:space="0" w:color="auto"/>
        <w:right w:val="none" w:sz="0" w:space="0" w:color="auto"/>
      </w:divBdr>
    </w:div>
    <w:div w:id="1092705498">
      <w:bodyDiv w:val="1"/>
      <w:marLeft w:val="0"/>
      <w:marRight w:val="0"/>
      <w:marTop w:val="0"/>
      <w:marBottom w:val="0"/>
      <w:divBdr>
        <w:top w:val="none" w:sz="0" w:space="0" w:color="auto"/>
        <w:left w:val="none" w:sz="0" w:space="0" w:color="auto"/>
        <w:bottom w:val="none" w:sz="0" w:space="0" w:color="auto"/>
        <w:right w:val="none" w:sz="0" w:space="0" w:color="auto"/>
      </w:divBdr>
    </w:div>
    <w:div w:id="1097403629">
      <w:bodyDiv w:val="1"/>
      <w:marLeft w:val="0"/>
      <w:marRight w:val="0"/>
      <w:marTop w:val="0"/>
      <w:marBottom w:val="0"/>
      <w:divBdr>
        <w:top w:val="none" w:sz="0" w:space="0" w:color="auto"/>
        <w:left w:val="none" w:sz="0" w:space="0" w:color="auto"/>
        <w:bottom w:val="none" w:sz="0" w:space="0" w:color="auto"/>
        <w:right w:val="none" w:sz="0" w:space="0" w:color="auto"/>
      </w:divBdr>
    </w:div>
    <w:div w:id="1309673329">
      <w:bodyDiv w:val="1"/>
      <w:marLeft w:val="0"/>
      <w:marRight w:val="0"/>
      <w:marTop w:val="0"/>
      <w:marBottom w:val="0"/>
      <w:divBdr>
        <w:top w:val="none" w:sz="0" w:space="0" w:color="auto"/>
        <w:left w:val="none" w:sz="0" w:space="0" w:color="auto"/>
        <w:bottom w:val="none" w:sz="0" w:space="0" w:color="auto"/>
        <w:right w:val="none" w:sz="0" w:space="0" w:color="auto"/>
      </w:divBdr>
    </w:div>
    <w:div w:id="1415279647">
      <w:bodyDiv w:val="1"/>
      <w:marLeft w:val="0"/>
      <w:marRight w:val="0"/>
      <w:marTop w:val="0"/>
      <w:marBottom w:val="0"/>
      <w:divBdr>
        <w:top w:val="none" w:sz="0" w:space="0" w:color="auto"/>
        <w:left w:val="none" w:sz="0" w:space="0" w:color="auto"/>
        <w:bottom w:val="none" w:sz="0" w:space="0" w:color="auto"/>
        <w:right w:val="none" w:sz="0" w:space="0" w:color="auto"/>
      </w:divBdr>
    </w:div>
    <w:div w:id="1425345710">
      <w:bodyDiv w:val="1"/>
      <w:marLeft w:val="0"/>
      <w:marRight w:val="0"/>
      <w:marTop w:val="0"/>
      <w:marBottom w:val="0"/>
      <w:divBdr>
        <w:top w:val="none" w:sz="0" w:space="0" w:color="auto"/>
        <w:left w:val="none" w:sz="0" w:space="0" w:color="auto"/>
        <w:bottom w:val="none" w:sz="0" w:space="0" w:color="auto"/>
        <w:right w:val="none" w:sz="0" w:space="0" w:color="auto"/>
      </w:divBdr>
    </w:div>
    <w:div w:id="1451439762">
      <w:bodyDiv w:val="1"/>
      <w:marLeft w:val="0"/>
      <w:marRight w:val="0"/>
      <w:marTop w:val="0"/>
      <w:marBottom w:val="0"/>
      <w:divBdr>
        <w:top w:val="none" w:sz="0" w:space="0" w:color="auto"/>
        <w:left w:val="none" w:sz="0" w:space="0" w:color="auto"/>
        <w:bottom w:val="none" w:sz="0" w:space="0" w:color="auto"/>
        <w:right w:val="none" w:sz="0" w:space="0" w:color="auto"/>
      </w:divBdr>
    </w:div>
    <w:div w:id="1498572035">
      <w:bodyDiv w:val="1"/>
      <w:marLeft w:val="0"/>
      <w:marRight w:val="0"/>
      <w:marTop w:val="0"/>
      <w:marBottom w:val="0"/>
      <w:divBdr>
        <w:top w:val="none" w:sz="0" w:space="0" w:color="auto"/>
        <w:left w:val="none" w:sz="0" w:space="0" w:color="auto"/>
        <w:bottom w:val="none" w:sz="0" w:space="0" w:color="auto"/>
        <w:right w:val="none" w:sz="0" w:space="0" w:color="auto"/>
      </w:divBdr>
    </w:div>
    <w:div w:id="1505628193">
      <w:bodyDiv w:val="1"/>
      <w:marLeft w:val="0"/>
      <w:marRight w:val="0"/>
      <w:marTop w:val="0"/>
      <w:marBottom w:val="0"/>
      <w:divBdr>
        <w:top w:val="none" w:sz="0" w:space="0" w:color="auto"/>
        <w:left w:val="none" w:sz="0" w:space="0" w:color="auto"/>
        <w:bottom w:val="none" w:sz="0" w:space="0" w:color="auto"/>
        <w:right w:val="none" w:sz="0" w:space="0" w:color="auto"/>
      </w:divBdr>
    </w:div>
    <w:div w:id="1514539434">
      <w:bodyDiv w:val="1"/>
      <w:marLeft w:val="0"/>
      <w:marRight w:val="0"/>
      <w:marTop w:val="0"/>
      <w:marBottom w:val="0"/>
      <w:divBdr>
        <w:top w:val="none" w:sz="0" w:space="0" w:color="auto"/>
        <w:left w:val="none" w:sz="0" w:space="0" w:color="auto"/>
        <w:bottom w:val="none" w:sz="0" w:space="0" w:color="auto"/>
        <w:right w:val="none" w:sz="0" w:space="0" w:color="auto"/>
      </w:divBdr>
    </w:div>
    <w:div w:id="1545219404">
      <w:bodyDiv w:val="1"/>
      <w:marLeft w:val="0"/>
      <w:marRight w:val="0"/>
      <w:marTop w:val="0"/>
      <w:marBottom w:val="0"/>
      <w:divBdr>
        <w:top w:val="none" w:sz="0" w:space="0" w:color="auto"/>
        <w:left w:val="none" w:sz="0" w:space="0" w:color="auto"/>
        <w:bottom w:val="none" w:sz="0" w:space="0" w:color="auto"/>
        <w:right w:val="none" w:sz="0" w:space="0" w:color="auto"/>
      </w:divBdr>
    </w:div>
    <w:div w:id="1570649665">
      <w:bodyDiv w:val="1"/>
      <w:marLeft w:val="0"/>
      <w:marRight w:val="0"/>
      <w:marTop w:val="0"/>
      <w:marBottom w:val="0"/>
      <w:divBdr>
        <w:top w:val="none" w:sz="0" w:space="0" w:color="auto"/>
        <w:left w:val="none" w:sz="0" w:space="0" w:color="auto"/>
        <w:bottom w:val="none" w:sz="0" w:space="0" w:color="auto"/>
        <w:right w:val="none" w:sz="0" w:space="0" w:color="auto"/>
      </w:divBdr>
    </w:div>
    <w:div w:id="1638757253">
      <w:bodyDiv w:val="1"/>
      <w:marLeft w:val="0"/>
      <w:marRight w:val="0"/>
      <w:marTop w:val="0"/>
      <w:marBottom w:val="0"/>
      <w:divBdr>
        <w:top w:val="none" w:sz="0" w:space="0" w:color="auto"/>
        <w:left w:val="none" w:sz="0" w:space="0" w:color="auto"/>
        <w:bottom w:val="none" w:sz="0" w:space="0" w:color="auto"/>
        <w:right w:val="none" w:sz="0" w:space="0" w:color="auto"/>
      </w:divBdr>
    </w:div>
    <w:div w:id="1683971082">
      <w:bodyDiv w:val="1"/>
      <w:marLeft w:val="0"/>
      <w:marRight w:val="0"/>
      <w:marTop w:val="0"/>
      <w:marBottom w:val="0"/>
      <w:divBdr>
        <w:top w:val="none" w:sz="0" w:space="0" w:color="auto"/>
        <w:left w:val="none" w:sz="0" w:space="0" w:color="auto"/>
        <w:bottom w:val="none" w:sz="0" w:space="0" w:color="auto"/>
        <w:right w:val="none" w:sz="0" w:space="0" w:color="auto"/>
      </w:divBdr>
    </w:div>
    <w:div w:id="1693534181">
      <w:bodyDiv w:val="1"/>
      <w:marLeft w:val="0"/>
      <w:marRight w:val="0"/>
      <w:marTop w:val="0"/>
      <w:marBottom w:val="0"/>
      <w:divBdr>
        <w:top w:val="none" w:sz="0" w:space="0" w:color="auto"/>
        <w:left w:val="none" w:sz="0" w:space="0" w:color="auto"/>
        <w:bottom w:val="none" w:sz="0" w:space="0" w:color="auto"/>
        <w:right w:val="none" w:sz="0" w:space="0" w:color="auto"/>
      </w:divBdr>
    </w:div>
    <w:div w:id="1839465910">
      <w:bodyDiv w:val="1"/>
      <w:marLeft w:val="0"/>
      <w:marRight w:val="0"/>
      <w:marTop w:val="0"/>
      <w:marBottom w:val="0"/>
      <w:divBdr>
        <w:top w:val="none" w:sz="0" w:space="0" w:color="auto"/>
        <w:left w:val="none" w:sz="0" w:space="0" w:color="auto"/>
        <w:bottom w:val="none" w:sz="0" w:space="0" w:color="auto"/>
        <w:right w:val="none" w:sz="0" w:space="0" w:color="auto"/>
      </w:divBdr>
    </w:div>
    <w:div w:id="1847355371">
      <w:bodyDiv w:val="1"/>
      <w:marLeft w:val="0"/>
      <w:marRight w:val="0"/>
      <w:marTop w:val="0"/>
      <w:marBottom w:val="0"/>
      <w:divBdr>
        <w:top w:val="none" w:sz="0" w:space="0" w:color="auto"/>
        <w:left w:val="none" w:sz="0" w:space="0" w:color="auto"/>
        <w:bottom w:val="none" w:sz="0" w:space="0" w:color="auto"/>
        <w:right w:val="none" w:sz="0" w:space="0" w:color="auto"/>
      </w:divBdr>
    </w:div>
    <w:div w:id="1869685827">
      <w:bodyDiv w:val="1"/>
      <w:marLeft w:val="0"/>
      <w:marRight w:val="0"/>
      <w:marTop w:val="0"/>
      <w:marBottom w:val="0"/>
      <w:divBdr>
        <w:top w:val="none" w:sz="0" w:space="0" w:color="auto"/>
        <w:left w:val="none" w:sz="0" w:space="0" w:color="auto"/>
        <w:bottom w:val="none" w:sz="0" w:space="0" w:color="auto"/>
        <w:right w:val="none" w:sz="0" w:space="0" w:color="auto"/>
      </w:divBdr>
    </w:div>
    <w:div w:id="1908225100">
      <w:bodyDiv w:val="1"/>
      <w:marLeft w:val="0"/>
      <w:marRight w:val="0"/>
      <w:marTop w:val="0"/>
      <w:marBottom w:val="0"/>
      <w:divBdr>
        <w:top w:val="none" w:sz="0" w:space="0" w:color="auto"/>
        <w:left w:val="none" w:sz="0" w:space="0" w:color="auto"/>
        <w:bottom w:val="none" w:sz="0" w:space="0" w:color="auto"/>
        <w:right w:val="none" w:sz="0" w:space="0" w:color="auto"/>
      </w:divBdr>
    </w:div>
    <w:div w:id="1967008651">
      <w:bodyDiv w:val="1"/>
      <w:marLeft w:val="0"/>
      <w:marRight w:val="0"/>
      <w:marTop w:val="0"/>
      <w:marBottom w:val="0"/>
      <w:divBdr>
        <w:top w:val="none" w:sz="0" w:space="0" w:color="auto"/>
        <w:left w:val="none" w:sz="0" w:space="0" w:color="auto"/>
        <w:bottom w:val="none" w:sz="0" w:space="0" w:color="auto"/>
        <w:right w:val="none" w:sz="0" w:space="0" w:color="auto"/>
      </w:divBdr>
    </w:div>
    <w:div w:id="1996369494">
      <w:bodyDiv w:val="1"/>
      <w:marLeft w:val="0"/>
      <w:marRight w:val="0"/>
      <w:marTop w:val="0"/>
      <w:marBottom w:val="0"/>
      <w:divBdr>
        <w:top w:val="none" w:sz="0" w:space="0" w:color="auto"/>
        <w:left w:val="none" w:sz="0" w:space="0" w:color="auto"/>
        <w:bottom w:val="none" w:sz="0" w:space="0" w:color="auto"/>
        <w:right w:val="none" w:sz="0" w:space="0" w:color="auto"/>
      </w:divBdr>
    </w:div>
    <w:div w:id="2020085628">
      <w:bodyDiv w:val="1"/>
      <w:marLeft w:val="0"/>
      <w:marRight w:val="0"/>
      <w:marTop w:val="0"/>
      <w:marBottom w:val="0"/>
      <w:divBdr>
        <w:top w:val="none" w:sz="0" w:space="0" w:color="auto"/>
        <w:left w:val="none" w:sz="0" w:space="0" w:color="auto"/>
        <w:bottom w:val="none" w:sz="0" w:space="0" w:color="auto"/>
        <w:right w:val="none" w:sz="0" w:space="0" w:color="auto"/>
      </w:divBdr>
    </w:div>
    <w:div w:id="2038773007">
      <w:bodyDiv w:val="1"/>
      <w:marLeft w:val="0"/>
      <w:marRight w:val="0"/>
      <w:marTop w:val="0"/>
      <w:marBottom w:val="0"/>
      <w:divBdr>
        <w:top w:val="none" w:sz="0" w:space="0" w:color="auto"/>
        <w:left w:val="none" w:sz="0" w:space="0" w:color="auto"/>
        <w:bottom w:val="none" w:sz="0" w:space="0" w:color="auto"/>
        <w:right w:val="none" w:sz="0" w:space="0" w:color="auto"/>
      </w:divBdr>
    </w:div>
    <w:div w:id="2057897409">
      <w:bodyDiv w:val="1"/>
      <w:marLeft w:val="0"/>
      <w:marRight w:val="0"/>
      <w:marTop w:val="0"/>
      <w:marBottom w:val="0"/>
      <w:divBdr>
        <w:top w:val="none" w:sz="0" w:space="0" w:color="auto"/>
        <w:left w:val="none" w:sz="0" w:space="0" w:color="auto"/>
        <w:bottom w:val="none" w:sz="0" w:space="0" w:color="auto"/>
        <w:right w:val="none" w:sz="0" w:space="0" w:color="auto"/>
      </w:divBdr>
    </w:div>
    <w:div w:id="2094931130">
      <w:bodyDiv w:val="1"/>
      <w:marLeft w:val="0"/>
      <w:marRight w:val="0"/>
      <w:marTop w:val="0"/>
      <w:marBottom w:val="0"/>
      <w:divBdr>
        <w:top w:val="none" w:sz="0" w:space="0" w:color="auto"/>
        <w:left w:val="none" w:sz="0" w:space="0" w:color="auto"/>
        <w:bottom w:val="none" w:sz="0" w:space="0" w:color="auto"/>
        <w:right w:val="none" w:sz="0" w:space="0" w:color="auto"/>
      </w:divBdr>
    </w:div>
    <w:div w:id="2116293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emf"/><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3.emf"/><Relationship Id="rId10" Type="http://schemas.openxmlformats.org/officeDocument/2006/relationships/footer" Target="footer2.xml"/><Relationship Id="rId19" Type="http://schemas.openxmlformats.org/officeDocument/2006/relationships/image" Target="media/image9.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 Id="rId22" Type="http://schemas.openxmlformats.org/officeDocument/2006/relationships/image" Target="media/image1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10FDE6-ABD2-49AB-919A-5FEE75636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5125</Words>
  <Characters>28190</Characters>
  <Application>Microsoft Office Word</Application>
  <DocSecurity>0</DocSecurity>
  <Lines>234</Lines>
  <Paragraphs>66</Paragraphs>
  <ScaleCrop>false</ScaleCrop>
  <HeadingPairs>
    <vt:vector size="2" baseType="variant">
      <vt:variant>
        <vt:lpstr>Título</vt:lpstr>
      </vt:variant>
      <vt:variant>
        <vt:i4>1</vt:i4>
      </vt:variant>
    </vt:vector>
  </HeadingPairs>
  <TitlesOfParts>
    <vt:vector size="1" baseType="lpstr">
      <vt:lpstr>SITUACIÓN FISCAL DEL SECTOR PÚBLICO PROVINCIAL</vt:lpstr>
    </vt:vector>
  </TitlesOfParts>
  <Company>MINISTERIO DE HACIENDA Y   FINANZAS PUBLICAS</Company>
  <LinksUpToDate>false</LinksUpToDate>
  <CharactersWithSpaces>33249</CharactersWithSpaces>
  <SharedDoc>false</SharedDoc>
  <HLinks>
    <vt:vector size="54" baseType="variant">
      <vt:variant>
        <vt:i4>1179706</vt:i4>
      </vt:variant>
      <vt:variant>
        <vt:i4>50</vt:i4>
      </vt:variant>
      <vt:variant>
        <vt:i4>0</vt:i4>
      </vt:variant>
      <vt:variant>
        <vt:i4>5</vt:i4>
      </vt:variant>
      <vt:variant>
        <vt:lpwstr/>
      </vt:variant>
      <vt:variant>
        <vt:lpwstr>_Toc99450871</vt:lpwstr>
      </vt:variant>
      <vt:variant>
        <vt:i4>1245242</vt:i4>
      </vt:variant>
      <vt:variant>
        <vt:i4>44</vt:i4>
      </vt:variant>
      <vt:variant>
        <vt:i4>0</vt:i4>
      </vt:variant>
      <vt:variant>
        <vt:i4>5</vt:i4>
      </vt:variant>
      <vt:variant>
        <vt:lpwstr/>
      </vt:variant>
      <vt:variant>
        <vt:lpwstr>_Toc99450870</vt:lpwstr>
      </vt:variant>
      <vt:variant>
        <vt:i4>1703995</vt:i4>
      </vt:variant>
      <vt:variant>
        <vt:i4>38</vt:i4>
      </vt:variant>
      <vt:variant>
        <vt:i4>0</vt:i4>
      </vt:variant>
      <vt:variant>
        <vt:i4>5</vt:i4>
      </vt:variant>
      <vt:variant>
        <vt:lpwstr/>
      </vt:variant>
      <vt:variant>
        <vt:lpwstr>_Toc99450869</vt:lpwstr>
      </vt:variant>
      <vt:variant>
        <vt:i4>1769531</vt:i4>
      </vt:variant>
      <vt:variant>
        <vt:i4>32</vt:i4>
      </vt:variant>
      <vt:variant>
        <vt:i4>0</vt:i4>
      </vt:variant>
      <vt:variant>
        <vt:i4>5</vt:i4>
      </vt:variant>
      <vt:variant>
        <vt:lpwstr/>
      </vt:variant>
      <vt:variant>
        <vt:lpwstr>_Toc99450868</vt:lpwstr>
      </vt:variant>
      <vt:variant>
        <vt:i4>1310779</vt:i4>
      </vt:variant>
      <vt:variant>
        <vt:i4>26</vt:i4>
      </vt:variant>
      <vt:variant>
        <vt:i4>0</vt:i4>
      </vt:variant>
      <vt:variant>
        <vt:i4>5</vt:i4>
      </vt:variant>
      <vt:variant>
        <vt:lpwstr/>
      </vt:variant>
      <vt:variant>
        <vt:lpwstr>_Toc99450867</vt:lpwstr>
      </vt:variant>
      <vt:variant>
        <vt:i4>1376315</vt:i4>
      </vt:variant>
      <vt:variant>
        <vt:i4>20</vt:i4>
      </vt:variant>
      <vt:variant>
        <vt:i4>0</vt:i4>
      </vt:variant>
      <vt:variant>
        <vt:i4>5</vt:i4>
      </vt:variant>
      <vt:variant>
        <vt:lpwstr/>
      </vt:variant>
      <vt:variant>
        <vt:lpwstr>_Toc99450866</vt:lpwstr>
      </vt:variant>
      <vt:variant>
        <vt:i4>1441851</vt:i4>
      </vt:variant>
      <vt:variant>
        <vt:i4>14</vt:i4>
      </vt:variant>
      <vt:variant>
        <vt:i4>0</vt:i4>
      </vt:variant>
      <vt:variant>
        <vt:i4>5</vt:i4>
      </vt:variant>
      <vt:variant>
        <vt:lpwstr/>
      </vt:variant>
      <vt:variant>
        <vt:lpwstr>_Toc99450865</vt:lpwstr>
      </vt:variant>
      <vt:variant>
        <vt:i4>1507387</vt:i4>
      </vt:variant>
      <vt:variant>
        <vt:i4>8</vt:i4>
      </vt:variant>
      <vt:variant>
        <vt:i4>0</vt:i4>
      </vt:variant>
      <vt:variant>
        <vt:i4>5</vt:i4>
      </vt:variant>
      <vt:variant>
        <vt:lpwstr/>
      </vt:variant>
      <vt:variant>
        <vt:lpwstr>_Toc99450864</vt:lpwstr>
      </vt:variant>
      <vt:variant>
        <vt:i4>1048635</vt:i4>
      </vt:variant>
      <vt:variant>
        <vt:i4>2</vt:i4>
      </vt:variant>
      <vt:variant>
        <vt:i4>0</vt:i4>
      </vt:variant>
      <vt:variant>
        <vt:i4>5</vt:i4>
      </vt:variant>
      <vt:variant>
        <vt:lpwstr/>
      </vt:variant>
      <vt:variant>
        <vt:lpwstr>_Toc99450863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SITUACIÓN FISCAL DEL SECTOR PÚBLICO PROVINCIAL</dc:title>
  <dc:subject/>
  <dc:creator>mbasil</dc:creator>
  <cp:keywords/>
  <cp:lastModifiedBy>Carlos José Musci</cp:lastModifiedBy>
  <cp:revision>2</cp:revision>
  <cp:lastPrinted>2019-09-27T18:07:00Z</cp:lastPrinted>
  <dcterms:created xsi:type="dcterms:W3CDTF">2022-09-20T19:00:00Z</dcterms:created>
  <dcterms:modified xsi:type="dcterms:W3CDTF">2022-09-20T19:00:00Z</dcterms:modified>
</cp:coreProperties>
</file>